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3B0" w:rsidRPr="00310AD7" w:rsidRDefault="004353B0">
      <w:pPr>
        <w:pStyle w:val="Heading0"/>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33"/>
        </w:rPr>
      </w:pPr>
      <w:r w:rsidRPr="00310AD7">
        <w:rPr>
          <w:rFonts w:ascii="Calibri" w:hAnsi="Calibri" w:cs="Calibri"/>
          <w:sz w:val="33"/>
        </w:rPr>
        <w:t>Toward a geopolitics of data</w:t>
      </w:r>
    </w:p>
    <w:p w:rsidR="004353B0" w:rsidRPr="00310AD7" w:rsidRDefault="004353B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4353B0" w:rsidRPr="00310AD7" w:rsidRDefault="004353B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b/>
          <w:sz w:val="22"/>
        </w:rPr>
        <w:t>Thierry Berthier</w:t>
      </w:r>
      <w:r w:rsidRPr="00310AD7">
        <w:rPr>
          <w:rFonts w:ascii="Calibri" w:hAnsi="Calibri" w:cs="Calibri"/>
          <w:sz w:val="22"/>
        </w:rPr>
        <w:t xml:space="preserve">, associate professor in mathematics, researcher, Chair of Cyberdefense and Cybersecurity, Saint-Cyr-Thales-Sogeti, and </w:t>
      </w:r>
      <w:r w:rsidRPr="00310AD7">
        <w:rPr>
          <w:rFonts w:ascii="Calibri" w:hAnsi="Calibri" w:cs="Calibri"/>
          <w:b/>
          <w:sz w:val="22"/>
        </w:rPr>
        <w:t>Olivier Kempf</w:t>
      </w:r>
      <w:r w:rsidRPr="00310AD7">
        <w:rPr>
          <w:rFonts w:ascii="Calibri" w:hAnsi="Calibri" w:cs="Calibri"/>
          <w:sz w:val="22"/>
        </w:rPr>
        <w:t>, PhD in political science and associate researcher at the Institut de Relations Internationales et Stratégiques (IRIS)</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310AD7">
        <w:rPr>
          <w:rStyle w:val="LineTight"/>
          <w:rFonts w:ascii="Calibri" w:hAnsi="Calibri" w:cs="Calibri"/>
          <w:b/>
          <w:sz w:val="22"/>
        </w:rPr>
        <w:t>For</w:t>
      </w:r>
      <w:r w:rsidRPr="00310AD7">
        <w:rPr>
          <w:rStyle w:val="LineTight"/>
          <w:rFonts w:ascii="Calibri" w:hAnsi="Calibri" w:cs="Calibri"/>
          <w:sz w:val="22"/>
        </w:rPr>
        <w:t xml:space="preserve">: In Jean-Pierre Dardayrol (ed.) </w:t>
      </w:r>
      <w:r w:rsidRPr="00310AD7">
        <w:rPr>
          <w:rStyle w:val="LineTight"/>
          <w:rFonts w:ascii="Calibri" w:hAnsi="Calibri" w:cs="Calibri"/>
          <w:i/>
          <w:sz w:val="22"/>
        </w:rPr>
        <w:t>The European digital union</w:t>
      </w:r>
      <w:r w:rsidRPr="00310AD7">
        <w:rPr>
          <w:rStyle w:val="LineTight"/>
          <w:rFonts w:ascii="Calibri" w:hAnsi="Calibri" w:cs="Calibri"/>
          <w:sz w:val="22"/>
        </w:rPr>
        <w:t xml:space="preserve"> [special issue of </w:t>
      </w:r>
      <w:r w:rsidRPr="00310AD7">
        <w:rPr>
          <w:rStyle w:val="LineTight"/>
          <w:rFonts w:ascii="Calibri" w:hAnsi="Calibri" w:cs="Calibri"/>
          <w:i/>
          <w:sz w:val="22"/>
        </w:rPr>
        <w:t>Réalités Industrielles</w:t>
      </w:r>
      <w:r w:rsidRPr="00310AD7">
        <w:rPr>
          <w:rStyle w:val="LineTight"/>
          <w:rFonts w:ascii="Calibri" w:hAnsi="Calibri" w:cs="Calibri"/>
          <w:sz w:val="22"/>
        </w:rPr>
        <w:t xml:space="preserve">, August 2016] </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9E2BD4"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310AD7">
        <w:rPr>
          <w:rStyle w:val="LineTight"/>
          <w:rFonts w:ascii="Calibri" w:hAnsi="Calibri" w:cs="Calibri"/>
          <w:b/>
          <w:i/>
          <w:sz w:val="22"/>
        </w:rPr>
        <w:t>Summary</w:t>
      </w:r>
      <w:r w:rsidRPr="00310AD7">
        <w:rPr>
          <w:rStyle w:val="LineTight"/>
          <w:rFonts w:ascii="Calibri" w:hAnsi="Calibri" w:cs="Calibri"/>
          <w:sz w:val="22"/>
        </w:rPr>
        <w:t xml:space="preserve">: </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310AD7">
        <w:rPr>
          <w:rStyle w:val="LineTight"/>
          <w:rFonts w:ascii="Calibri" w:hAnsi="Calibri" w:cs="Calibri"/>
          <w:sz w:val="22"/>
        </w:rPr>
        <w:t>Some pundits present data as a resource, whereas others see it as the prelude to a new currency. The Internet of objects will foreseeably multiply the volume of data in comparison with what we now know. Data will become the key element, economically and politically, in our societies. This trend is mainly arising out of private parties’ actions, since public authorities (in France and Europe) seem powerless before this new driving force. Although data are becoming the key instrument of power, we still lack an analytic grid for measuring a nation’s power in terms of its digital data.</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830E76" w:rsidRPr="00310AD7" w:rsidRDefault="00830E76"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830E76" w:rsidRPr="00310AD7" w:rsidRDefault="00830E76"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0" w:name="Generated_Bookmark1"/>
      <w:bookmarkEnd w:id="0"/>
      <w:r w:rsidRPr="00310AD7">
        <w:rPr>
          <w:rFonts w:ascii="Calibri" w:hAnsi="Calibri" w:cs="Calibri"/>
          <w:sz w:val="33"/>
          <w:u w:val="single"/>
        </w:rPr>
        <w:t>The data economy in numbers</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9E2BD4"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Sometimes considered the new petroleum, digital data modify our perception of the world by opening onto its full complexity.</w:t>
      </w:r>
      <w:r w:rsidR="00830E76" w:rsidRPr="00310AD7">
        <w:rPr>
          <w:rStyle w:val="Appelnotedebasdep"/>
          <w:rFonts w:ascii="Calibri" w:hAnsi="Calibri" w:cs="Calibri"/>
          <w:sz w:val="22"/>
        </w:rPr>
        <w:footnoteReference w:id="1"/>
      </w:r>
      <w:r w:rsidRPr="00310AD7">
        <w:rPr>
          <w:rFonts w:ascii="Calibri" w:hAnsi="Calibri" w:cs="Calibri"/>
          <w:sz w:val="22"/>
        </w:rPr>
        <w:t xml:space="preserve"> They fuel the engine of an economy that, within in a few decades, has turned into a “knowledge-based economy”. Estimated in 2013 at more than €15</w:t>
      </w:r>
      <w:r w:rsidR="00160AAF" w:rsidRPr="00310AD7">
        <w:rPr>
          <w:rFonts w:ascii="Calibri" w:hAnsi="Calibri" w:cs="Calibri"/>
          <w:sz w:val="22"/>
        </w:rPr>
        <w:t> </w:t>
      </w:r>
      <w:r w:rsidRPr="00310AD7">
        <w:rPr>
          <w:rFonts w:ascii="Calibri" w:hAnsi="Calibri" w:cs="Calibri"/>
          <w:sz w:val="22"/>
        </w:rPr>
        <w:t>trillion,</w:t>
      </w:r>
      <w:r w:rsidR="00830E76" w:rsidRPr="00310AD7">
        <w:rPr>
          <w:rStyle w:val="Appelnotedebasdep"/>
          <w:rFonts w:ascii="Calibri" w:hAnsi="Calibri" w:cs="Calibri"/>
          <w:sz w:val="22"/>
        </w:rPr>
        <w:footnoteReference w:id="2"/>
      </w:r>
      <w:r w:rsidRPr="00310AD7">
        <w:rPr>
          <w:rFonts w:ascii="Calibri" w:hAnsi="Calibri" w:cs="Calibri"/>
          <w:sz w:val="22"/>
        </w:rPr>
        <w:t xml:space="preserve"> the share of digital products and services in the world’s economy represented nearly a sixth of the total (€100 trillion) for traditional goods </w:t>
      </w:r>
      <w:bookmarkStart w:id="1" w:name="_GoBack"/>
      <w:r w:rsidRPr="00310AD7">
        <w:rPr>
          <w:rFonts w:ascii="Calibri" w:hAnsi="Calibri" w:cs="Calibri"/>
          <w:sz w:val="22"/>
        </w:rPr>
        <w:t>and services</w:t>
      </w:r>
      <w:bookmarkEnd w:id="1"/>
      <w:r w:rsidRPr="00310AD7">
        <w:rPr>
          <w:rFonts w:ascii="Calibri" w:hAnsi="Calibri" w:cs="Calibri"/>
          <w:sz w:val="22"/>
        </w:rPr>
        <w:t>.</w:t>
      </w:r>
      <w:r w:rsidR="00830E76" w:rsidRPr="00310AD7">
        <w:rPr>
          <w:rStyle w:val="Appelnotedebasdep"/>
          <w:rFonts w:ascii="Calibri" w:hAnsi="Calibri" w:cs="Calibri"/>
          <w:sz w:val="22"/>
        </w:rPr>
        <w:footnoteReference w:id="3"/>
      </w:r>
      <w:r w:rsidRPr="00310AD7">
        <w:rPr>
          <w:rFonts w:ascii="Calibri" w:hAnsi="Calibri" w:cs="Calibri"/>
          <w:sz w:val="22"/>
        </w:rPr>
        <w:t xml:space="preserve"> In May 2015, the accumulated market value of the fifteen leading world groups in digital technology amounted to $2.4 trillion, the same as France’s GDP in 2015.</w:t>
      </w:r>
      <w:r w:rsidR="00830E76" w:rsidRPr="00310AD7">
        <w:rPr>
          <w:rStyle w:val="Appelnotedebasdep"/>
          <w:rFonts w:ascii="Calibri" w:hAnsi="Calibri" w:cs="Calibri"/>
          <w:sz w:val="22"/>
        </w:rPr>
        <w:footnoteReference w:id="4"/>
      </w:r>
      <w:r w:rsidRPr="00310AD7">
        <w:rPr>
          <w:rFonts w:ascii="Calibri" w:hAnsi="Calibri" w:cs="Calibri"/>
          <w:sz w:val="22"/>
        </w:rPr>
        <w:t xml:space="preserve"> Recall that, in 1995, the market capitalization of these top fifteen amounted to but $16.75 billion.</w:t>
      </w:r>
    </w:p>
    <w:p w:rsidR="004353B0" w:rsidRPr="00310AD7" w:rsidRDefault="009E2BD4"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Pr>
          <w:rFonts w:ascii="Calibri" w:hAnsi="Calibri" w:cs="Calibri"/>
          <w:sz w:val="22"/>
        </w:rPr>
        <w:br w:type="page"/>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94" w:type="dxa"/>
          <w:right w:w="94" w:type="dxa"/>
        </w:tblCellMar>
        <w:tblLook w:val="0000" w:firstRow="0" w:lastRow="0" w:firstColumn="0" w:lastColumn="0" w:noHBand="0" w:noVBand="0"/>
      </w:tblPr>
      <w:tblGrid>
        <w:gridCol w:w="1985"/>
        <w:gridCol w:w="2229"/>
        <w:gridCol w:w="2023"/>
        <w:gridCol w:w="2835"/>
      </w:tblGrid>
      <w:tr w:rsidR="00A3353F" w:rsidRPr="00310AD7" w:rsidTr="009E2BD4">
        <w:tc>
          <w:tcPr>
            <w:tcW w:w="1985"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World rank</w:t>
            </w:r>
          </w:p>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(May 2015)</w:t>
            </w:r>
          </w:p>
        </w:tc>
        <w:tc>
          <w:tcPr>
            <w:tcW w:w="2229"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Company</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Home country</w:t>
            </w:r>
          </w:p>
        </w:tc>
        <w:tc>
          <w:tcPr>
            <w:tcW w:w="2835"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Market capitalization (US$MM) in 2015</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1</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Apple</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USA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763,567</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2</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Google</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USA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373,437</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3</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Alibaba</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China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232,755</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4</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Facebook</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USA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226,009</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5</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Amazon.com</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USA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199,139</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6</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Tencent</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China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190,11</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7</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eBay</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USA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72,549</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8</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Baidu</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China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71,581</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9</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Priceline.com</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USA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62,645</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10</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Salesforce.com</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USA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49,173</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11</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JD.com</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China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47,711</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12</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Yahoo!</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USA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40,808</w:t>
            </w:r>
          </w:p>
        </w:tc>
      </w:tr>
      <w:tr w:rsidR="00A3353F" w:rsidRPr="00310AD7" w:rsidTr="009E2BD4">
        <w:trPr>
          <w:trHeight w:val="254"/>
        </w:trPr>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13</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Netflix</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USA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37,7</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14</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LinkedIn</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USA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24,718</w:t>
            </w:r>
          </w:p>
        </w:tc>
      </w:tr>
      <w:tr w:rsidR="00A3353F" w:rsidRPr="00310AD7" w:rsidTr="009E2BD4">
        <w:tc>
          <w:tcPr>
            <w:tcW w:w="198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15</w:t>
            </w:r>
          </w:p>
        </w:tc>
        <w:tc>
          <w:tcPr>
            <w:tcW w:w="2229"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Twitter</w:t>
            </w:r>
          </w:p>
        </w:tc>
        <w:tc>
          <w:tcPr>
            <w:tcW w:w="2023"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USA</w:t>
            </w:r>
          </w:p>
        </w:tc>
        <w:tc>
          <w:tcPr>
            <w:tcW w:w="2835" w:type="dxa"/>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sz w:val="22"/>
              </w:rPr>
              <w:t>23,965</w:t>
            </w:r>
          </w:p>
        </w:tc>
      </w:tr>
      <w:tr w:rsidR="00A3353F" w:rsidRPr="00310AD7" w:rsidTr="009E2BD4">
        <w:trPr>
          <w:cantSplit/>
        </w:trPr>
        <w:tc>
          <w:tcPr>
            <w:tcW w:w="6237" w:type="dxa"/>
            <w:gridSpan w:val="3"/>
            <w:tcMar>
              <w:left w:w="108"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b/>
                <w:sz w:val="22"/>
              </w:rPr>
              <w:t>Total of the Top 15</w:t>
            </w:r>
          </w:p>
        </w:tc>
        <w:tc>
          <w:tcPr>
            <w:tcW w:w="2835" w:type="dxa"/>
            <w:tcMar>
              <w:left w:w="108" w:type="dxa"/>
              <w:right w:w="108" w:type="dxa"/>
            </w:tcMar>
          </w:tcPr>
          <w:p w:rsidR="00A3353F" w:rsidRPr="00310AD7" w:rsidRDefault="00A3353F"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310AD7">
              <w:rPr>
                <w:rFonts w:ascii="Calibri" w:hAnsi="Calibri" w:cs="Calibri"/>
                <w:b/>
                <w:sz w:val="22"/>
              </w:rPr>
              <w:t>2,415,867</w:t>
            </w:r>
          </w:p>
        </w:tc>
      </w:tr>
      <w:tr w:rsidR="00A3353F" w:rsidRPr="00310AD7" w:rsidTr="009E2BD4">
        <w:trPr>
          <w:cantSplit/>
        </w:trPr>
        <w:tc>
          <w:tcPr>
            <w:tcW w:w="9072" w:type="dxa"/>
            <w:gridSpan w:val="4"/>
            <w:tcMar>
              <w:top w:w="170" w:type="dxa"/>
              <w:left w:w="108" w:type="dxa"/>
              <w:bottom w:w="170" w:type="dxa"/>
              <w:right w:w="108" w:type="dxa"/>
            </w:tcMar>
          </w:tcPr>
          <w:p w:rsidR="00A3353F" w:rsidRPr="00310AD7" w:rsidRDefault="00A3353F"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Style w:val="Redline"/>
                <w:rFonts w:ascii="Calibri" w:hAnsi="Calibri" w:cs="Calibri"/>
                <w:sz w:val="22"/>
              </w:rPr>
              <w:t xml:space="preserve">Source: KPCB, </w:t>
            </w:r>
            <w:r w:rsidRPr="00310AD7">
              <w:rPr>
                <w:rStyle w:val="Redline"/>
                <w:rFonts w:ascii="Calibri" w:hAnsi="Calibri" w:cs="Calibri"/>
                <w:i/>
                <w:sz w:val="22"/>
              </w:rPr>
              <w:t>Internet Trends 2015: – Code Conference</w:t>
            </w:r>
          </w:p>
        </w:tc>
      </w:tr>
    </w:tbl>
    <w:p w:rsidR="00A3353F" w:rsidRDefault="009E2BD4"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Pr>
          <w:rFonts w:ascii="Calibri" w:hAnsi="Calibri" w:cs="Calibri"/>
          <w:sz w:val="22"/>
        </w:rPr>
        <w:t xml:space="preserve">Table 1: </w:t>
      </w:r>
      <w:r w:rsidRPr="00310AD7">
        <w:rPr>
          <w:rFonts w:ascii="Calibri" w:hAnsi="Calibri" w:cs="Calibri"/>
          <w:sz w:val="22"/>
        </w:rPr>
        <w:t xml:space="preserve">Ranking by market capitalization of global public Internet companies in 2015: </w:t>
      </w:r>
      <w:r w:rsidRPr="00310AD7">
        <w:rPr>
          <w:rFonts w:ascii="Calibri" w:hAnsi="Calibri" w:cs="Calibri"/>
          <w:sz w:val="22"/>
        </w:rPr>
        <w:br/>
        <w:t>The GAFA extended family</w:t>
      </w:r>
    </w:p>
    <w:p w:rsidR="009E2BD4" w:rsidRDefault="009E2BD4"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E2BD4" w:rsidRPr="00310AD7" w:rsidRDefault="009E2BD4" w:rsidP="009E2BD4">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 xml:space="preserve">Regardless of their core business activity, industrial firms are organized around information systems, which condition their strategies, survival and prosperity. Built by using entirely new models, “smart” towns optimize their resources and consumption of energy by integrating, at all levels, data and data-processing. Their architecture combines materials and digital data to offer a new kind of space where information is ubiquitous, </w:t>
      </w:r>
      <w:r w:rsidRPr="00310AD7">
        <w:rPr>
          <w:rFonts w:ascii="Calibri" w:hAnsi="Calibri" w:cs="Calibri"/>
          <w:i/>
          <w:sz w:val="22"/>
        </w:rPr>
        <w:t>i.e.</w:t>
      </w:r>
      <w:r w:rsidRPr="00310AD7">
        <w:rPr>
          <w:rFonts w:ascii="Calibri" w:hAnsi="Calibri" w:cs="Calibri"/>
          <w:sz w:val="22"/>
        </w:rPr>
        <w:t>, accessible everywhere, for everyone and always.</w:t>
      </w:r>
    </w:p>
    <w:p w:rsidR="000541B1"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With more than 1.01 billion sensors and connected devices in 2013 and very likely nearly one hundred billion by 2020, a literal deluge of data is coming that will create wealth, needs and new occupations. In 2015, humanity produced, in a single minute, 200 million e-mails, 15 million SMS messages, 350,000 tweets, 250 gigabytes of data on Facebook and more than 1,740,000 gigabytes of digital information worldwide. Google processes daily more than 24 petabytes (</w:t>
      </w:r>
      <w:r w:rsidRPr="00310AD7">
        <w:rPr>
          <w:rFonts w:ascii="Calibri" w:hAnsi="Calibri" w:cs="Calibri"/>
          <w:i/>
          <w:sz w:val="22"/>
        </w:rPr>
        <w:t>i.e.</w:t>
      </w:r>
      <w:r w:rsidRPr="00310AD7">
        <w:rPr>
          <w:rFonts w:ascii="Calibri" w:hAnsi="Calibri" w:cs="Calibri"/>
          <w:sz w:val="22"/>
        </w:rPr>
        <w:t>, 24 trillion bytes). The diagram in Figure 1 provides an idea of the magnitude of data used for various purposes.</w:t>
      </w:r>
    </w:p>
    <w:p w:rsidR="00685A42" w:rsidRPr="00310AD7" w:rsidRDefault="000541B1" w:rsidP="000541B1">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br w:type="page"/>
      </w:r>
      <w:r w:rsidR="009C2BEF">
        <w:rPr>
          <w:rFonts w:ascii="Calibri" w:hAnsi="Calibri" w:cs="Calibri"/>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35pt;height:285.35pt">
            <v:imagedata r:id="rId9" o:title="figure-1-BerthierKempf"/>
          </v:shape>
        </w:pict>
      </w:r>
    </w:p>
    <w:p w:rsidR="00685A42" w:rsidRPr="00310AD7" w:rsidRDefault="00685A42" w:rsidP="000541B1">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0541B1" w:rsidRPr="00310AD7" w:rsidRDefault="000541B1" w:rsidP="000541B1">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 xml:space="preserve">Figure 1: Various natural or digital devices for storing data: Their storage capacity expressed as a power of 10 bytes: </w:t>
      </w:r>
    </w:p>
    <w:p w:rsidR="000541B1" w:rsidRPr="00310AD7" w:rsidRDefault="000541B1" w:rsidP="000541B1">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MB= Megabytes (10</w:t>
      </w:r>
      <w:r w:rsidRPr="00310AD7">
        <w:rPr>
          <w:rFonts w:ascii="Calibri" w:hAnsi="Calibri" w:cs="Calibri"/>
          <w:sz w:val="22"/>
          <w:vertAlign w:val="superscript"/>
        </w:rPr>
        <w:t>6</w:t>
      </w:r>
      <w:r w:rsidRPr="00310AD7">
        <w:rPr>
          <w:rFonts w:ascii="Calibri" w:hAnsi="Calibri" w:cs="Calibri"/>
          <w:sz w:val="22"/>
        </w:rPr>
        <w:t>)   GB= Gigabytes (10</w:t>
      </w:r>
      <w:r w:rsidRPr="00310AD7">
        <w:rPr>
          <w:rFonts w:ascii="Calibri" w:hAnsi="Calibri" w:cs="Calibri"/>
          <w:sz w:val="22"/>
          <w:vertAlign w:val="superscript"/>
        </w:rPr>
        <w:t>9</w:t>
      </w:r>
      <w:r w:rsidRPr="00310AD7">
        <w:rPr>
          <w:rFonts w:ascii="Calibri" w:hAnsi="Calibri" w:cs="Calibri"/>
          <w:sz w:val="22"/>
        </w:rPr>
        <w:t>)   T= Terabytes (10</w:t>
      </w:r>
      <w:r w:rsidRPr="00310AD7">
        <w:rPr>
          <w:rFonts w:ascii="Calibri" w:hAnsi="Calibri" w:cs="Calibri"/>
          <w:sz w:val="22"/>
          <w:vertAlign w:val="superscript"/>
        </w:rPr>
        <w:t>12</w:t>
      </w:r>
      <w:r w:rsidRPr="00310AD7">
        <w:rPr>
          <w:rFonts w:ascii="Calibri" w:hAnsi="Calibri" w:cs="Calibri"/>
          <w:sz w:val="22"/>
        </w:rPr>
        <w:t>)   P= Petabytes (10</w:t>
      </w:r>
      <w:r w:rsidRPr="00310AD7">
        <w:rPr>
          <w:rFonts w:ascii="Calibri" w:hAnsi="Calibri" w:cs="Calibri"/>
          <w:sz w:val="22"/>
          <w:vertAlign w:val="superscript"/>
        </w:rPr>
        <w:t>15</w:t>
      </w:r>
      <w:r w:rsidRPr="00310AD7">
        <w:rPr>
          <w:rFonts w:ascii="Calibri" w:hAnsi="Calibri" w:cs="Calibri"/>
          <w:sz w:val="22"/>
        </w:rPr>
        <w:t>)   E= Exabytes (10</w:t>
      </w:r>
      <w:r w:rsidRPr="00310AD7">
        <w:rPr>
          <w:rFonts w:ascii="Calibri" w:hAnsi="Calibri" w:cs="Calibri"/>
          <w:sz w:val="22"/>
          <w:vertAlign w:val="superscript"/>
        </w:rPr>
        <w:t>15</w:t>
      </w:r>
      <w:r w:rsidRPr="00310AD7">
        <w:rPr>
          <w:rFonts w:ascii="Calibri" w:hAnsi="Calibri" w:cs="Calibri"/>
          <w:sz w:val="22"/>
        </w:rPr>
        <w:t>)</w:t>
      </w:r>
    </w:p>
    <w:p w:rsidR="000541B1" w:rsidRPr="00310AD7" w:rsidRDefault="000541B1" w:rsidP="000541B1">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The production of data is now increasing exponentially, but for want of an adapted algorithmic infrastructure, only a part of its potential has been processed. Firms and researchers in the data sciences should devote less attention to storing this mass of data and more to processing it.</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These few statistics describe the powerful impact of digital data on the world’s economy. However they should not keep us from seeing that this impact has set off tremors reaching beyond the economy into the realm of strategy and geopolitics. Data, as a “virtual” resource, bestow power on those who know how to collect and use them. They become a top-priority issue in the game of power among nations.</w:t>
      </w:r>
    </w:p>
    <w:p w:rsidR="004353B0" w:rsidRPr="00310AD7" w:rsidRDefault="004353B0" w:rsidP="00A3353F">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2" w:name="Generated_Bookmark2"/>
      <w:bookmarkEnd w:id="2"/>
      <w:r w:rsidRPr="00310AD7">
        <w:rPr>
          <w:rFonts w:ascii="Calibri" w:hAnsi="Calibri" w:cs="Calibri"/>
          <w:sz w:val="33"/>
          <w:u w:val="single"/>
        </w:rPr>
        <w:t>Politic power has very little power over data</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Data have evidently become a stake in the game of power. This power is, first of all, commercial, since major players make profits from processing big data. By collecting and statistically analyzing huge volumes of data, they intend to draw profiles of consumers and identify their centers of interest. This profiling has an obvious market value since it helps to hone and fine-tune advertising campaigns. Big firms with masses of data can, after processing them, sell “consumer profiles” to other businesses, which can thus optimize their spending on adverting by increasing sales. The companies that have advanced the farthest in this direction are Google, Amazon, Facebook and Apple (the GAFA), to which Microsoft is ever more frequently added. But other players have started doing the same: those directly involved in the Internet (active in developing browsers, in providing access or in telephony) and even those who run big commercial websites (SNCF, Le Bon Coin, and major groups in the media industry).</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For public administrations, the stakes are quite different, since the intent is to make available to the public what has been called “open data”.</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Big data has become essential to espionage. It should be pointed out that the secret services of major countries (the NSA in the United States, GCHQ in the United Kingdom or DGSE in France) use the same techniques to monitor illicit trafficking activities and to locate potentially dangerous persons.</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At present, it is mostly private parties that control data. There are practically no public regulations. We are now observing the first conflicts of interest between private and public interests.</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The contention that set the Federal Bureau of Investigation at odds with Apple is telling. One of the terrorists who led, in December 2015, the attack at San Bernardino, California, used an iPhone. The FBI wanted access to the data stored on the phone, but it had been encrypted using Apple’s technology. Apple refused to cooperate with authorities for two reasons. First of all, out of principle: it argued that its services to customers was based on the absolute confidentiality of their messages (thanks to encryption technology). Secondly, out of necessity, for a technical reason: the substantial cost of having so many engineers work on unlocking the phone. Apple essentially refused to set a precedent by invoking fundamental freedoms and, concomitantly, using a clever market-based argument. It thus struck a posture in defense of citizens and their data against a Big Brother government. The company received, in fact, unanimous backing from the major American Internet firms. WhatsApp even announced, a few weeks later, that it was going to launch end-to-end encryption. We know the rest of this story: the FBI used professional hackers to “break” Apple’s code and gain access to the coveted data.</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This affair draws our attention to a dual aspect of data: they might be massive but they are also individual. Governments only have indirect means for accessing data, through technical espionage or targeted intrusions (not always easy to orchestrate). Moreover, data bring to light an opposition between two types of power: the one technocommercial and the other governmental. Whereas nation-states do not yet have control over data, technocommercial companies have gained strength and power thanks to their skills in data-processing.</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Another dimension of the data economy is visible, but subjacent: how to protect data. Public authorities tirelessly issue warnings about cybercriminality, and exhort cybernauts to keep their computers “clean” so as to lower the exposure to piracy. One method for protecting data is to encrypt data and messages, but this arouses the ire of authorities, since criminals and terrorists are also able to use these techniques. Authorities are, therefore, calling for restrictions on encrypted data. Internet providers easily argue that it is not because cars are used by criminals that they should be outlawed. For them, this analogy holds for encryption.</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Public authorities (in particular American) seem to suffer from a sort of schizophrenia — evidence of their dissatisfaction with being unable to exercise control over a new, expanding field that everyone now sees as the grounds for establishing power.</w:t>
      </w:r>
    </w:p>
    <w:p w:rsidR="004353B0" w:rsidRPr="00310AD7" w:rsidRDefault="004353B0" w:rsidP="00A3353F">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3" w:name="Generated_Bookmark3"/>
      <w:bookmarkEnd w:id="3"/>
      <w:r w:rsidRPr="00310AD7">
        <w:rPr>
          <w:rFonts w:ascii="Calibri" w:hAnsi="Calibri" w:cs="Calibri"/>
          <w:sz w:val="33"/>
          <w:u w:val="single"/>
        </w:rPr>
        <w:t>France and Europe are lagging…</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The debate on these issues is mostly taking place in the United States, the front runner in the race, both technological and economic, toward cyberspace. Too often adopting an inadequate intellectual approach, France and Europe seem missing.</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In France, a country with a Colbertist tradition, making the connection between data and power often leads to evoking the concept of economic sovereignty. One of the keys to success is to understand that power must be, first of all, economic before turning political. Major projects have been launched that leave the public (precisely consumers) unconvinced, even though some of them bore results — such as Minitel, which made France one of the most connected countries in the world during the 1980s. To keep control over the Minitel technology, there was a refusal to let it evolve; to keep the standards from being diffused, a refusal to open the source code — these were some of the reasons why the Minitel adventure came to an end. Recently, public authorities launched plans for a “sovereign cloud”, which has, however, sunk into the technocratic quicksands. The only French operators in the cloud are now private (OVH or Gandi). Likewise, authorities have touted the browser Qwant, which is struggling to carve out a share of the market. The only innovation still surviving is Uhuru, an antivirus software with limited diffusion despite its obvious qualities. In fact, success is a matter of use, which, in turn, is a response to expectations.</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Nor has the European Union been very effective, even though this scale of action should be conducive to mass solutions. With a population of 450 million wealthy, educated, connected inhabitants and despite its institutions (which primarily set legal regulations and standards), the EU should provide the stimulus for the emergence of strong digital operators. For the time being, this is not at all the case. We might mention, at most, Junker’s program (in favor of economic development) or the recent vote by the European Parliament, which, when adopting the PNR (Passenger Name Record) directive, tacked on a set of protection safeguards for users’ data. The Commission has just announced its intention to develop a sovereign scientific cloud, the first step toward launching a European cloud.</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France or Europe will acquire power over data only if they develop major operators that will serve as reference marks in the digital economy.</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These brief comments paint a contrasting picture, one that is inadequate since we lack a detailed, comparative knowledge of the determinants of digital data power. Let us examine a few aspects…</w:t>
      </w:r>
    </w:p>
    <w:p w:rsidR="004353B0" w:rsidRPr="00310AD7" w:rsidRDefault="004353B0" w:rsidP="00A3353F">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4" w:name="Generated_Bookmark4"/>
      <w:bookmarkEnd w:id="4"/>
      <w:r w:rsidRPr="00310AD7">
        <w:rPr>
          <w:rFonts w:ascii="Calibri" w:hAnsi="Calibri" w:cs="Calibri"/>
          <w:sz w:val="33"/>
          <w:u w:val="single"/>
        </w:rPr>
        <w:t>A nation’s digital data power</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What are the grounds of a nation’s digital power? The determinants, diverse but usually interdependent, correspond to five major capacities that a nation has (or has not) fostered over the past two decades: the capacity of the data infrastructure, the capacity for data-processing, the capacity for attracting the big international players in the digital data business, the capacity for training data scientists and, last of all, the capacity for setting as a priority an ambitious national data policy.</w:t>
      </w:r>
    </w:p>
    <w:p w:rsidR="00685A42" w:rsidRPr="00310AD7" w:rsidRDefault="009C2BEF" w:rsidP="00685A4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Pr>
          <w:rFonts w:ascii="Calibri" w:hAnsi="Calibri" w:cs="Calibri"/>
          <w:sz w:val="22"/>
        </w:rPr>
        <w:pict>
          <v:shape id="_x0000_i1026" type="#_x0000_t75" style="width:439.35pt;height:215.35pt">
            <v:imagedata r:id="rId10" o:title="figure-2-BerthierKempf"/>
          </v:shape>
        </w:pict>
      </w:r>
    </w:p>
    <w:p w:rsidR="00685A42" w:rsidRPr="00310AD7" w:rsidRDefault="00685A42" w:rsidP="00685A4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310AD7">
        <w:rPr>
          <w:rFonts w:ascii="Calibri" w:hAnsi="Calibri" w:cs="Calibri"/>
          <w:sz w:val="22"/>
        </w:rPr>
        <w:t>Figure 2: The determinants of a nation’s digital data power:</w:t>
      </w:r>
    </w:p>
    <w:p w:rsidR="00685A42" w:rsidRPr="00310AD7" w:rsidRDefault="00685A42" w:rsidP="00A3353F">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06546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5" w:name="Generated_Bookmark5"/>
      <w:bookmarkEnd w:id="5"/>
      <w:r>
        <w:rPr>
          <w:rFonts w:ascii="Calibri" w:hAnsi="Calibri" w:cs="Calibri"/>
          <w:sz w:val="26"/>
        </w:rPr>
        <w:br w:type="page"/>
      </w:r>
      <w:r w:rsidR="004353B0" w:rsidRPr="00310AD7">
        <w:rPr>
          <w:rFonts w:ascii="Calibri" w:hAnsi="Calibri" w:cs="Calibri"/>
          <w:sz w:val="26"/>
        </w:rPr>
        <w:t>The data infrastructure capacity</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This capacity is measured by the density and power of the physical infrastructure inside the nation’s border for storing and processing data. It can be evaluated by taking into account: the number of data centers in relation to the national population; these centers’ maximal capacities per year for storage and processing; their total annual consumption of energy; the number and ranking (as a function of computing power) of high performance computers installed in the country; and the volume of data processed annually by the country’s major operators (telephony, the Internet and networks).</w:t>
      </w:r>
    </w:p>
    <w:p w:rsidR="004353B0" w:rsidRPr="00310AD7" w:rsidRDefault="004353B0" w:rsidP="00A3353F">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6" w:name="Generated_Bookmark6"/>
      <w:bookmarkEnd w:id="6"/>
      <w:r w:rsidRPr="00310AD7">
        <w:rPr>
          <w:rFonts w:ascii="Calibri" w:hAnsi="Calibri" w:cs="Calibri"/>
          <w:sz w:val="26"/>
        </w:rPr>
        <w:t>The data-processing capacity</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This capacity reflects both how much the tools, developed in the country, for algorithmically processing data are operational and how much the nation depends on foreign (in particular American) installations. It takes into account whether or not a sovereign cloud (durable and secure) exists or is being developed and whether or not a national search engine exists or is being developed that can rival the major commercial ones (Google, Yahoo, Yandex, Baidu, etc.). It also takes under consideration in the country: the number of laboratories, R&amp;D clusters and university research chairs for the data sciences; the number of patents (per year and in relation to the national population) filed in the data sciences; and the number (per year and in relation to the national population) of doctoral dissertations defended in the data sciences. It also brings into the picture: the number of companies (whether startups or big groups) per year receiving citations or awards for their innovations during major international events, shows or competitions; the number of data-centered startups acquired by the big international operators (GAFA); and the number of partnerships between local companies (startups or large groups) and these big international players.</w:t>
      </w:r>
    </w:p>
    <w:p w:rsidR="004353B0" w:rsidRPr="00310AD7" w:rsidRDefault="004353B0" w:rsidP="00A3353F">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7" w:name="Generated_Bookmark7"/>
      <w:bookmarkEnd w:id="7"/>
      <w:r w:rsidRPr="00310AD7">
        <w:rPr>
          <w:rFonts w:ascii="Calibri" w:hAnsi="Calibri" w:cs="Calibri"/>
          <w:sz w:val="26"/>
        </w:rPr>
        <w:t>The capacity for attracting the big global players</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This capacity has to do with the degree that the country’s digital ecosystem attracts the big global players in the data business, in particular the Top 15. To evaluate it, we must look at the operations (research, data and training centers as well as sales outlets) set up inside the country by these global players. We must take into account: the number per year of R&amp;D partnerships formed by the big global groups with research laboratories or high-technology clusters inside the country; the volume per year of acquisitions by these global groups of start-ups inside the country; and the equity investments made by these global operators in innovative national programs. Attention must also be given both to the degree of compatibility of the country’s legal environment with the business activities of these big global players and to the level of acceptability of taxes for them. A last point is how (positively or negatively) these big global players perceive the government’s digital policies. A question to summarize this point: can national digital policies stimulate investments, durable investments, in the country?</w:t>
      </w:r>
    </w:p>
    <w:p w:rsidR="004353B0" w:rsidRPr="00310AD7" w:rsidRDefault="004353B0" w:rsidP="00A3353F">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8" w:name="Generated_Bookmark8"/>
      <w:bookmarkEnd w:id="8"/>
      <w:r w:rsidRPr="00310AD7">
        <w:rPr>
          <w:rFonts w:ascii="Calibri" w:hAnsi="Calibri" w:cs="Calibri"/>
          <w:sz w:val="26"/>
        </w:rPr>
        <w:t>The capacity for training data scientists</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The nation’s capacity for training data scientists depends on: the national distribution of higher education programs in the data sciences (statistics, machine learning, data-mining); their international reputation; the selectivity of their admission procedures; the number of partnerships between these programs and firms; and the number of firms created by students in these programs before or after graduation.</w:t>
      </w:r>
    </w:p>
    <w:p w:rsidR="00160AAF" w:rsidRPr="00310AD7" w:rsidRDefault="00160AAF"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06546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9" w:name="Generated_Bookmark9"/>
      <w:bookmarkEnd w:id="9"/>
      <w:r>
        <w:rPr>
          <w:rFonts w:ascii="Calibri" w:hAnsi="Calibri" w:cs="Calibri"/>
          <w:sz w:val="26"/>
        </w:rPr>
        <w:br w:type="page"/>
      </w:r>
      <w:r w:rsidR="004353B0" w:rsidRPr="00310AD7">
        <w:rPr>
          <w:rFonts w:ascii="Calibri" w:hAnsi="Calibri" w:cs="Calibri"/>
          <w:sz w:val="26"/>
        </w:rPr>
        <w:t>The capacity for assigning priority to an ambitious data policy</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This capacity refers to the priority that the government assigns to digital policy and its measures for fostering a digital ecosystem. The percentage of the GDP reinjected in R&amp;D on digital data is, for sure, the most relevant aggregate criterion for quantifying priority.</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A quantitative approach to these five major capacities entails defining formal, numerical indicators. This fifth capacity very much affects the first four but is apparently the least easy to evaluate. In effect, the concept of priority is volatile, fluctuating with the government in office.</w:t>
      </w:r>
    </w:p>
    <w:p w:rsidR="004353B0" w:rsidRPr="00310AD7" w:rsidRDefault="004353B0" w:rsidP="00A3353F">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10" w:name="Generated_Bookmark10"/>
      <w:bookmarkEnd w:id="10"/>
      <w:r w:rsidRPr="00310AD7">
        <w:rPr>
          <w:rFonts w:ascii="Calibri" w:hAnsi="Calibri" w:cs="Calibri"/>
          <w:sz w:val="33"/>
          <w:u w:val="single"/>
        </w:rPr>
        <w:t>To conclude…</w:t>
      </w: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353B0" w:rsidRPr="00310AD7" w:rsidRDefault="004353B0" w:rsidP="00A3353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310AD7">
        <w:rPr>
          <w:rFonts w:ascii="Calibri" w:hAnsi="Calibri" w:cs="Calibri"/>
          <w:sz w:val="22"/>
        </w:rPr>
        <w:tab/>
        <w:t>Caught up in worldwide competition for the control of big data, France and Europe already have networks of excellence, top-quality technology clusters, scientists, academics and businesses. Coordinating and mutualizing their efforts is the way to create the conditions for competing effectively with the big American and Chinese operators in collecting and processing data. This European cooperation must be set up as soon as possible if EU member states really want to maintain or restore, in part, their national sovereignty by increasing their digital data power. Data give power — let us have the capacity to conquer!</w:t>
      </w:r>
    </w:p>
    <w:sectPr w:rsidR="004353B0" w:rsidRPr="00310AD7" w:rsidSect="00065460">
      <w:headerReference w:type="even" r:id="rId11"/>
      <w:headerReference w:type="default" r:id="rId12"/>
      <w:footerReference w:type="even" r:id="rId13"/>
      <w:footerReference w:type="default" r:id="rId14"/>
      <w:pgSz w:w="11906" w:h="16838"/>
      <w:pgMar w:top="1418" w:right="1418" w:bottom="1418" w:left="1418" w:header="113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DEE" w:rsidRDefault="00325DEE">
      <w:r>
        <w:separator/>
      </w:r>
    </w:p>
  </w:endnote>
  <w:endnote w:type="continuationSeparator" w:id="0">
    <w:p w:rsidR="00325DEE" w:rsidRDefault="00325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3B0" w:rsidRPr="00160AAF" w:rsidRDefault="00EA0DA2" w:rsidP="00EA0DA2">
    <w:pPr>
      <w:pStyle w:val="Pieddepage"/>
      <w:jc w:val="right"/>
      <w:rPr>
        <w:rFonts w:ascii="Calibri" w:hAnsi="Calibri" w:cs="Calibri"/>
      </w:rPr>
    </w:pPr>
    <w:r w:rsidRPr="00160AAF">
      <w:rPr>
        <w:rFonts w:ascii="Calibri" w:hAnsi="Calibri" w:cs="Calibri"/>
        <w:color w:val="E20936"/>
        <w:sz w:val="22"/>
        <w:szCs w:val="22"/>
      </w:rPr>
      <w:t>Réalités Industrielles – August 2016</w:t>
    </w:r>
    <w:r w:rsidRPr="00160AAF">
      <w:rPr>
        <w:rFonts w:ascii="Calibri" w:hAnsi="Calibri" w:cs="Calibri"/>
        <w:color w:val="E20936"/>
        <w:sz w:val="22"/>
        <w:szCs w:val="22"/>
        <w:lang w:val="fr-FR"/>
      </w:rPr>
      <w:t xml:space="preserve">- </w:t>
    </w:r>
    <w:r w:rsidRPr="00160AAF">
      <w:rPr>
        <w:rFonts w:ascii="Calibri" w:hAnsi="Calibri" w:cs="Calibri"/>
        <w:color w:val="E20936"/>
        <w:sz w:val="22"/>
        <w:szCs w:val="22"/>
      </w:rPr>
      <w:fldChar w:fldCharType="begin"/>
    </w:r>
    <w:r w:rsidRPr="00160AAF">
      <w:rPr>
        <w:rFonts w:ascii="Calibri" w:hAnsi="Calibri" w:cs="Calibri"/>
        <w:color w:val="E20936"/>
        <w:sz w:val="22"/>
        <w:szCs w:val="22"/>
      </w:rPr>
      <w:instrText>PAGE   \* MERGEFORMAT</w:instrText>
    </w:r>
    <w:r w:rsidRPr="00160AAF">
      <w:rPr>
        <w:rFonts w:ascii="Calibri" w:hAnsi="Calibri" w:cs="Calibri"/>
        <w:color w:val="E20936"/>
        <w:sz w:val="22"/>
        <w:szCs w:val="22"/>
      </w:rPr>
      <w:fldChar w:fldCharType="separate"/>
    </w:r>
    <w:r w:rsidR="009C2BEF" w:rsidRPr="009C2BEF">
      <w:rPr>
        <w:rFonts w:ascii="Calibri" w:hAnsi="Calibri" w:cs="Calibri"/>
        <w:noProof/>
        <w:color w:val="E20936"/>
        <w:sz w:val="22"/>
        <w:szCs w:val="22"/>
        <w:lang w:val="fr-FR"/>
      </w:rPr>
      <w:t>2</w:t>
    </w:r>
    <w:r w:rsidRPr="00160AAF">
      <w:rPr>
        <w:rFonts w:ascii="Calibri" w:hAnsi="Calibri" w:cs="Calibri"/>
        <w:color w:val="E20936"/>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DA2" w:rsidRPr="009C2BEF" w:rsidRDefault="009C2BEF" w:rsidP="009C2BEF">
    <w:pPr>
      <w:pStyle w:val="Pieddepage"/>
      <w:jc w:val="right"/>
      <w:rPr>
        <w:rFonts w:ascii="Calibri" w:hAnsi="Calibri" w:cs="Calibri"/>
      </w:rPr>
    </w:pPr>
    <w:r w:rsidRPr="00F32844">
      <w:rPr>
        <w:rFonts w:ascii="Calibri" w:hAnsi="Calibri" w:cs="Calibri"/>
        <w:color w:val="E20936"/>
        <w:sz w:val="22"/>
        <w:szCs w:val="22"/>
      </w:rPr>
      <w:t>Réalités Industrielles – August 2016</w:t>
    </w:r>
    <w:r>
      <w:rPr>
        <w:rFonts w:ascii="Calibri" w:hAnsi="Calibri" w:cs="Calibri"/>
        <w:color w:val="E20936"/>
        <w:sz w:val="22"/>
        <w:szCs w:val="22"/>
      </w:rPr>
      <w:t xml:space="preserve"> </w:t>
    </w:r>
    <w:r w:rsidRPr="00F32844">
      <w:rPr>
        <w:rFonts w:ascii="Calibri" w:hAnsi="Calibri" w:cs="Calibri"/>
        <w:color w:val="E20936"/>
        <w:sz w:val="22"/>
        <w:szCs w:val="22"/>
        <w:lang w:val="fr-FR"/>
      </w:rPr>
      <w:t xml:space="preserve">- </w:t>
    </w:r>
    <w:r w:rsidRPr="00F32844">
      <w:rPr>
        <w:rFonts w:ascii="Calibri" w:hAnsi="Calibri" w:cs="Calibri"/>
        <w:color w:val="E20936"/>
        <w:sz w:val="22"/>
        <w:szCs w:val="22"/>
      </w:rPr>
      <w:fldChar w:fldCharType="begin"/>
    </w:r>
    <w:r w:rsidRPr="00F32844">
      <w:rPr>
        <w:rFonts w:ascii="Calibri" w:hAnsi="Calibri" w:cs="Calibri"/>
        <w:color w:val="E20936"/>
        <w:sz w:val="22"/>
        <w:szCs w:val="22"/>
      </w:rPr>
      <w:instrText>PAGE   \* MERGEFORMAT</w:instrText>
    </w:r>
    <w:r w:rsidRPr="00F32844">
      <w:rPr>
        <w:rFonts w:ascii="Calibri" w:hAnsi="Calibri" w:cs="Calibri"/>
        <w:color w:val="E20936"/>
        <w:sz w:val="22"/>
        <w:szCs w:val="22"/>
      </w:rPr>
      <w:fldChar w:fldCharType="separate"/>
    </w:r>
    <w:r w:rsidR="00325DEE" w:rsidRPr="00325DEE">
      <w:rPr>
        <w:rFonts w:ascii="Calibri" w:hAnsi="Calibri" w:cs="Calibri"/>
        <w:noProof/>
        <w:color w:val="E20936"/>
        <w:sz w:val="22"/>
        <w:szCs w:val="22"/>
        <w:lang w:val="fr-FR"/>
      </w:rPr>
      <w:t>1</w:t>
    </w:r>
    <w:r w:rsidRPr="00F32844">
      <w:rPr>
        <w:rFonts w:ascii="Calibri" w:hAnsi="Calibri" w:cs="Calibri"/>
        <w:color w:val="E20936"/>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DEE" w:rsidRDefault="00325DEE">
      <w:r>
        <w:separator/>
      </w:r>
    </w:p>
  </w:footnote>
  <w:footnote w:type="continuationSeparator" w:id="0">
    <w:p w:rsidR="00325DEE" w:rsidRDefault="00325DEE">
      <w:r>
        <w:continuationSeparator/>
      </w:r>
    </w:p>
  </w:footnote>
  <w:footnote w:id="1">
    <w:p w:rsidR="00830E76" w:rsidRPr="00160AAF" w:rsidRDefault="00830E76" w:rsidP="00830E7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60AAF">
        <w:rPr>
          <w:rStyle w:val="Appelnotedebasdep"/>
          <w:rFonts w:ascii="Calibri" w:hAnsi="Calibri" w:cs="Calibri"/>
          <w:sz w:val="16"/>
          <w:szCs w:val="16"/>
        </w:rPr>
        <w:footnoteRef/>
      </w:r>
      <w:r w:rsidRPr="00160AAF">
        <w:rPr>
          <w:rFonts w:ascii="Calibri" w:hAnsi="Calibri" w:cs="Calibri"/>
          <w:sz w:val="16"/>
          <w:szCs w:val="16"/>
        </w:rPr>
        <w:t xml:space="preserve"> Article translated from French by Noal Mellott (Omaha Beach, France).</w:t>
      </w:r>
    </w:p>
  </w:footnote>
  <w:footnote w:id="2">
    <w:p w:rsidR="00830E76" w:rsidRPr="00160AAF" w:rsidRDefault="00830E76" w:rsidP="00830E7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60AAF">
        <w:rPr>
          <w:rStyle w:val="Appelnotedebasdep"/>
          <w:rFonts w:ascii="Calibri" w:hAnsi="Calibri" w:cs="Calibri"/>
          <w:sz w:val="16"/>
          <w:szCs w:val="16"/>
        </w:rPr>
        <w:footnoteRef/>
      </w:r>
      <w:r w:rsidRPr="00160AAF">
        <w:rPr>
          <w:rFonts w:ascii="Calibri" w:hAnsi="Calibri" w:cs="Calibri"/>
          <w:sz w:val="16"/>
          <w:szCs w:val="16"/>
        </w:rPr>
        <w:t xml:space="preserve"> “L’économie des données personnelles: les enjeux d'un business éthique”, CIGREF report, 2015. Available at: </w:t>
      </w:r>
      <w:r w:rsidRPr="00160AAF">
        <w:rPr>
          <w:rFonts w:ascii="Calibri" w:hAnsi="Calibri" w:cs="Calibri"/>
          <w:sz w:val="16"/>
          <w:szCs w:val="16"/>
        </w:rPr>
        <w:br/>
      </w:r>
      <w:hyperlink r:id="rId1" w:history="1">
        <w:r w:rsidRPr="00160AAF">
          <w:rPr>
            <w:rStyle w:val="Lienhypertexte"/>
            <w:rFonts w:ascii="Calibri" w:hAnsi="Calibri" w:cs="Calibri"/>
            <w:color w:val="auto"/>
            <w:sz w:val="16"/>
            <w:szCs w:val="16"/>
            <w:u w:val="none"/>
          </w:rPr>
          <w:t>http://www.cigref.fr/wp/wp-content/uploads/2015/11/CIGREF-Economie-donnees-perso-Enjeux-business-ethique-2015.pdf</w:t>
        </w:r>
      </w:hyperlink>
    </w:p>
  </w:footnote>
  <w:footnote w:id="3">
    <w:p w:rsidR="00830E76" w:rsidRPr="00160AAF" w:rsidRDefault="00830E76" w:rsidP="00830E7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60AAF">
        <w:rPr>
          <w:rStyle w:val="Appelnotedebasdep"/>
          <w:rFonts w:ascii="Calibri" w:hAnsi="Calibri" w:cs="Calibri"/>
          <w:sz w:val="16"/>
          <w:szCs w:val="16"/>
        </w:rPr>
        <w:footnoteRef/>
      </w:r>
      <w:r w:rsidRPr="00160AAF">
        <w:rPr>
          <w:rFonts w:ascii="Calibri" w:hAnsi="Calibri" w:cs="Calibri"/>
          <w:sz w:val="16"/>
          <w:szCs w:val="16"/>
        </w:rPr>
        <w:t xml:space="preserve"> Éric Péres, rapporteur, “Les données numériques: un enjeu d’éducation et de citoyenneté”, the opinions of the Conseil Économique, Social et Environnemental, January 2015. Available at: </w:t>
      </w:r>
      <w:hyperlink r:id="rId2" w:history="1">
        <w:r w:rsidRPr="00160AAF">
          <w:rPr>
            <w:rStyle w:val="Lienhypertexte"/>
            <w:rFonts w:ascii="Calibri" w:hAnsi="Calibri" w:cs="Calibri"/>
            <w:color w:val="auto"/>
            <w:sz w:val="16"/>
            <w:szCs w:val="16"/>
            <w:u w:val="none"/>
          </w:rPr>
          <w:t>http://www.lecese.fr/sites/default/files/pdf/Avis/2015/2015_01_donnees_numeriques.pdf</w:t>
        </w:r>
      </w:hyperlink>
    </w:p>
  </w:footnote>
  <w:footnote w:id="4">
    <w:p w:rsidR="00830E76" w:rsidRPr="00160AAF" w:rsidRDefault="00830E76" w:rsidP="00830E7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60AAF">
        <w:rPr>
          <w:rStyle w:val="Appelnotedebasdep"/>
          <w:rFonts w:ascii="Calibri" w:hAnsi="Calibri" w:cs="Calibri"/>
          <w:sz w:val="16"/>
          <w:szCs w:val="16"/>
        </w:rPr>
        <w:footnoteRef/>
      </w:r>
      <w:r w:rsidRPr="00160AAF">
        <w:rPr>
          <w:rFonts w:ascii="Calibri" w:hAnsi="Calibri" w:cs="Calibri"/>
          <w:sz w:val="16"/>
          <w:szCs w:val="16"/>
        </w:rPr>
        <w:t xml:space="preserve"> Kleiner Perkins Caulfield Byers (KPCB), </w:t>
      </w:r>
      <w:r w:rsidRPr="00160AAF">
        <w:rPr>
          <w:rFonts w:ascii="Calibri" w:hAnsi="Calibri" w:cs="Calibri"/>
          <w:i/>
          <w:sz w:val="16"/>
          <w:szCs w:val="16"/>
        </w:rPr>
        <w:t>Internet Trends 2015 – Code Conference, Top15 Digital</w:t>
      </w:r>
      <w:r w:rsidRPr="00160AAF">
        <w:rPr>
          <w:rFonts w:ascii="Calibri" w:hAnsi="Calibri" w:cs="Calibri"/>
          <w:sz w:val="16"/>
          <w:szCs w:val="16"/>
        </w:rPr>
        <w:t xml:space="preserve">. Available at: </w:t>
      </w:r>
      <w:r w:rsidRPr="00160AAF">
        <w:rPr>
          <w:rFonts w:ascii="Calibri" w:hAnsi="Calibri" w:cs="Calibri"/>
          <w:sz w:val="16"/>
          <w:szCs w:val="16"/>
        </w:rPr>
        <w:br/>
      </w:r>
      <w:hyperlink r:id="rId3" w:history="1">
        <w:r w:rsidRPr="00160AAF">
          <w:rPr>
            <w:rStyle w:val="Lienhypertexte"/>
            <w:rFonts w:ascii="Calibri" w:hAnsi="Calibri" w:cs="Calibri"/>
            <w:color w:val="auto"/>
            <w:sz w:val="16"/>
            <w:szCs w:val="16"/>
            <w:u w:val="none"/>
          </w:rPr>
          <w:t>http://www.kpcb.com/internet-trends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3B0" w:rsidRDefault="004353B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3B0" w:rsidRDefault="004353B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suff w:val="nothing"/>
      <w:lvlText w:val="%1"/>
      <w:lvlJc w:val="left"/>
      <w:rPr>
        <w:rFonts w:cs="Times New Roman"/>
      </w:rPr>
    </w:lvl>
    <w:lvl w:ilvl="1">
      <w:start w:val="1"/>
      <w:numFmt w:val="decimal"/>
      <w:suff w:val="nothing"/>
      <w:lvlText w:val="%1.%2"/>
      <w:lvlJc w:val="left"/>
      <w:rPr>
        <w:rFonts w:cs="Times New Roman"/>
      </w:rPr>
    </w:lvl>
    <w:lvl w:ilvl="2">
      <w:start w:val="1"/>
      <w:numFmt w:val="decimal"/>
      <w:suff w:val="nothing"/>
      <w:lvlText w:val="%1.%2.%3"/>
      <w:lvlJc w:val="left"/>
      <w:rPr>
        <w:rFonts w:cs="Times New Roman"/>
      </w:rPr>
    </w:lvl>
    <w:lvl w:ilvl="3">
      <w:start w:val="1"/>
      <w:numFmt w:val="decimal"/>
      <w:suff w:val="nothing"/>
      <w:lvlText w:val="%1.%2.%3.%4"/>
      <w:lvlJc w:val="left"/>
      <w:rPr>
        <w:rFonts w:cs="Times New Roman"/>
      </w:rPr>
    </w:lvl>
    <w:lvl w:ilvl="4">
      <w:start w:val="1"/>
      <w:numFmt w:val="decimal"/>
      <w:suff w:val="nothing"/>
      <w:lvlText w:val="%1.%2.%3.%4.%5"/>
      <w:lvlJc w:val="left"/>
      <w:rPr>
        <w:rFonts w:cs="Times New Roman"/>
      </w:rPr>
    </w:lvl>
    <w:lvl w:ilvl="5">
      <w:start w:val="1"/>
      <w:numFmt w:val="decimal"/>
      <w:suff w:val="nothing"/>
      <w:lvlText w:val="%1.%2.%3.%4.%5.%6"/>
      <w:lvlJc w:val="left"/>
      <w:rPr>
        <w:rFonts w:cs="Times New Roman"/>
      </w:rPr>
    </w:lvl>
    <w:lvl w:ilvl="6">
      <w:start w:val="1"/>
      <w:numFmt w:val="decimal"/>
      <w:suff w:val="nothing"/>
      <w:lvlText w:val="%1.%2.%3.%4.%5.%6.%7"/>
      <w:lvlJc w:val="left"/>
      <w:rPr>
        <w:rFonts w:cs="Times New Roman"/>
      </w:rPr>
    </w:lvl>
    <w:lvl w:ilvl="7">
      <w:start w:val="1"/>
      <w:numFmt w:val="decimal"/>
      <w:suff w:val="nothing"/>
      <w:lvlText w:val="%1.%2.%3.%4.%5.%6.%7.%8"/>
      <w:lvlJc w:val="left"/>
      <w:rPr>
        <w:rFonts w:cs="Times New Roman"/>
      </w:rPr>
    </w:lvl>
    <w:lvl w:ilvl="8">
      <w:start w:val="1"/>
      <w:numFmt w:val="lowerRoman"/>
      <w:suff w:val="nothing"/>
      <w:lvlText w:val="%9)"/>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bordersDoNotSurroundHeader/>
  <w:bordersDoNotSurroundFooter/>
  <w:doNotTrackMoves/>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53B0"/>
    <w:rsid w:val="000541B1"/>
    <w:rsid w:val="00065460"/>
    <w:rsid w:val="00160AAF"/>
    <w:rsid w:val="00310AD7"/>
    <w:rsid w:val="00325DEE"/>
    <w:rsid w:val="004353B0"/>
    <w:rsid w:val="005A45FC"/>
    <w:rsid w:val="00685A42"/>
    <w:rsid w:val="00830E76"/>
    <w:rsid w:val="009C2BEF"/>
    <w:rsid w:val="009E2BD4"/>
    <w:rsid w:val="00A3353F"/>
    <w:rsid w:val="00C249A5"/>
    <w:rsid w:val="00C709AD"/>
    <w:rsid w:val="00DC5C98"/>
    <w:rsid w:val="00EA0DA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pPr>
      <w:widowControl w:val="0"/>
    </w:pPr>
    <w:rPr>
      <w:b/>
      <w:sz w:val="36"/>
      <w:u w:val="single"/>
    </w:rPr>
  </w:style>
  <w:style w:type="paragraph" w:customStyle="1" w:styleId="ArticleTit2">
    <w:name w:val="ArticleTit2"/>
    <w:basedOn w:val="Normal"/>
    <w:pPr>
      <w:widowControl w:val="0"/>
    </w:pPr>
    <w:rPr>
      <w:b/>
      <w:sz w:val="29"/>
    </w:rPr>
  </w:style>
  <w:style w:type="paragraph" w:customStyle="1" w:styleId="ArticleTit3">
    <w:name w:val="ArticleTit3"/>
    <w:basedOn w:val="Normal"/>
    <w:pPr>
      <w:widowControl w:val="0"/>
    </w:pPr>
    <w:rPr>
      <w:b/>
      <w:i/>
    </w:rPr>
  </w:style>
  <w:style w:type="paragraph" w:customStyle="1" w:styleId="ArticleTit4">
    <w:name w:val="ArticleTit4"/>
    <w:basedOn w:val="Normal"/>
    <w:pPr>
      <w:widowControl w:val="0"/>
    </w:pPr>
    <w:rPr>
      <w:i/>
    </w:rPr>
  </w:style>
  <w:style w:type="paragraph" w:customStyle="1" w:styleId="ArticleTit5">
    <w:name w:val="ArticleTit5"/>
    <w:basedOn w:val="Normal"/>
    <w:pPr>
      <w:widowControl w:val="0"/>
    </w:pPr>
    <w:rPr>
      <w:smallCaps/>
    </w:rPr>
  </w:style>
  <w:style w:type="paragraph" w:customStyle="1" w:styleId="Level6">
    <w:name w:val="Level 6"/>
    <w:basedOn w:val="Normal"/>
    <w:pPr>
      <w:widowControl w:val="0"/>
    </w:pPr>
  </w:style>
  <w:style w:type="paragraph" w:customStyle="1" w:styleId="Level7">
    <w:name w:val="Level 7"/>
    <w:basedOn w:val="Normal"/>
    <w:pPr>
      <w:widowControl w:val="0"/>
    </w:pPr>
  </w:style>
  <w:style w:type="paragraph" w:customStyle="1" w:styleId="Level8">
    <w:name w:val="Level 8"/>
    <w:basedOn w:val="Normal"/>
    <w:pPr>
      <w:widowControl w:val="0"/>
    </w:pPr>
  </w:style>
  <w:style w:type="paragraph" w:customStyle="1" w:styleId="Level9">
    <w:name w:val="Level 9"/>
    <w:basedOn w:val="Normal"/>
    <w:pPr>
      <w:widowControl w:val="0"/>
    </w:pPr>
    <w:rPr>
      <w:b/>
    </w:rPr>
  </w:style>
  <w:style w:type="paragraph" w:customStyle="1" w:styleId="Heading0">
    <w:name w:val="Heading0"/>
    <w:basedOn w:val="Normal"/>
    <w:pPr>
      <w:widowControl w:val="0"/>
      <w:spacing w:after="20"/>
      <w:jc w:val="center"/>
    </w:pPr>
    <w:rPr>
      <w:b/>
      <w:sz w:val="36"/>
    </w:rPr>
  </w:style>
  <w:style w:type="character" w:customStyle="1" w:styleId="LineTight">
    <w:name w:val="LineTight"/>
    <w:rPr>
      <w:rFonts w:cs="Times New Roman"/>
    </w:rPr>
  </w:style>
  <w:style w:type="character" w:customStyle="1" w:styleId="Redline">
    <w:name w:val="Redline"/>
    <w:rPr>
      <w:u w:val="single"/>
    </w:rPr>
  </w:style>
  <w:style w:type="character" w:customStyle="1" w:styleId="XOut">
    <w:name w:val="XOut"/>
    <w:rPr>
      <w:strike/>
    </w:rPr>
  </w:style>
  <w:style w:type="character" w:customStyle="1" w:styleId="SYSHYPERTEXT">
    <w:name w:val="SYS_HYPERTEXT"/>
    <w:rPr>
      <w:color w:val="0000FF"/>
      <w:u w:val="single"/>
    </w:rPr>
  </w:style>
  <w:style w:type="paragraph" w:styleId="En-tte">
    <w:name w:val="header"/>
    <w:basedOn w:val="Normal"/>
    <w:link w:val="En-tteCar"/>
    <w:uiPriority w:val="99"/>
    <w:unhideWhenUsed/>
    <w:rsid w:val="00830E76"/>
    <w:pPr>
      <w:tabs>
        <w:tab w:val="center" w:pos="4536"/>
        <w:tab w:val="right" w:pos="9072"/>
      </w:tabs>
    </w:pPr>
  </w:style>
  <w:style w:type="character" w:customStyle="1" w:styleId="En-tteCar">
    <w:name w:val="En-tête Car"/>
    <w:link w:val="En-tte"/>
    <w:uiPriority w:val="99"/>
    <w:rsid w:val="00830E76"/>
    <w:rPr>
      <w:sz w:val="24"/>
      <w:lang w:val="en-US"/>
    </w:rPr>
  </w:style>
  <w:style w:type="paragraph" w:styleId="Pieddepage">
    <w:name w:val="footer"/>
    <w:basedOn w:val="Normal"/>
    <w:link w:val="PieddepageCar"/>
    <w:uiPriority w:val="99"/>
    <w:unhideWhenUsed/>
    <w:rsid w:val="00830E76"/>
    <w:pPr>
      <w:tabs>
        <w:tab w:val="center" w:pos="4536"/>
        <w:tab w:val="right" w:pos="9072"/>
      </w:tabs>
    </w:pPr>
  </w:style>
  <w:style w:type="character" w:customStyle="1" w:styleId="PieddepageCar">
    <w:name w:val="Pied de page Car"/>
    <w:link w:val="Pieddepage"/>
    <w:uiPriority w:val="99"/>
    <w:rsid w:val="00830E76"/>
    <w:rPr>
      <w:sz w:val="24"/>
      <w:lang w:val="en-US"/>
    </w:rPr>
  </w:style>
  <w:style w:type="paragraph" w:styleId="Notedebasdepage">
    <w:name w:val="footnote text"/>
    <w:basedOn w:val="Normal"/>
    <w:link w:val="NotedebasdepageCar"/>
    <w:uiPriority w:val="99"/>
    <w:semiHidden/>
    <w:unhideWhenUsed/>
    <w:rsid w:val="00830E76"/>
    <w:rPr>
      <w:sz w:val="20"/>
    </w:rPr>
  </w:style>
  <w:style w:type="character" w:customStyle="1" w:styleId="NotedebasdepageCar">
    <w:name w:val="Note de bas de page Car"/>
    <w:link w:val="Notedebasdepage"/>
    <w:uiPriority w:val="99"/>
    <w:semiHidden/>
    <w:rsid w:val="00830E76"/>
    <w:rPr>
      <w:lang w:val="en-US"/>
    </w:rPr>
  </w:style>
  <w:style w:type="character" w:styleId="Appelnotedebasdep">
    <w:name w:val="footnote reference"/>
    <w:uiPriority w:val="99"/>
    <w:semiHidden/>
    <w:unhideWhenUsed/>
    <w:rsid w:val="00830E76"/>
    <w:rPr>
      <w:vertAlign w:val="superscript"/>
    </w:rPr>
  </w:style>
  <w:style w:type="character" w:styleId="Lienhypertexte">
    <w:name w:val="Hyperlink"/>
    <w:uiPriority w:val="99"/>
    <w:unhideWhenUsed/>
    <w:rsid w:val="00830E76"/>
    <w:rPr>
      <w:color w:val="0000FF"/>
      <w:u w:val="single"/>
    </w:rPr>
  </w:style>
  <w:style w:type="paragraph" w:styleId="Textedebulles">
    <w:name w:val="Balloon Text"/>
    <w:basedOn w:val="Normal"/>
    <w:link w:val="TextedebullesCar"/>
    <w:uiPriority w:val="99"/>
    <w:semiHidden/>
    <w:unhideWhenUsed/>
    <w:rsid w:val="000541B1"/>
    <w:rPr>
      <w:rFonts w:ascii="Tahoma" w:hAnsi="Tahoma" w:cs="Tahoma"/>
      <w:sz w:val="16"/>
      <w:szCs w:val="16"/>
    </w:rPr>
  </w:style>
  <w:style w:type="character" w:customStyle="1" w:styleId="TextedebullesCar">
    <w:name w:val="Texte de bulles Car"/>
    <w:link w:val="Textedebulles"/>
    <w:uiPriority w:val="99"/>
    <w:semiHidden/>
    <w:rsid w:val="000541B1"/>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kpcb.com/internet-trends" TargetMode="External"/><Relationship Id="rId2" Type="http://schemas.openxmlformats.org/officeDocument/2006/relationships/hyperlink" Target="http://www.lecese.fr/sites/default/files/pdf/Avis/2015/2015_01_donnees_numeriques.pdf" TargetMode="External"/><Relationship Id="rId1" Type="http://schemas.openxmlformats.org/officeDocument/2006/relationships/hyperlink" Target="http://www.cigref.fr/wp/wp-content/uploads/2015/11/CIGREF-Economie-donnees-perso-Enjeux-business-ethique-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305D5-7515-49CF-8287-59012A229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7</Pages>
  <Words>2646</Words>
  <Characters>14213</Characters>
  <Application>Microsoft Office Word</Application>
  <DocSecurity>0</DocSecurity>
  <Lines>308</Lines>
  <Paragraphs>133</Paragraphs>
  <ScaleCrop>false</ScaleCrop>
  <Company/>
  <LinksUpToDate>false</LinksUpToDate>
  <CharactersWithSpaces>16726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Michaux</cp:lastModifiedBy>
  <cp:revision>10</cp:revision>
  <dcterms:created xsi:type="dcterms:W3CDTF">2015-01-28T10:30:00Z</dcterms:created>
  <dcterms:modified xsi:type="dcterms:W3CDTF">2017-01-20T09:05:00Z</dcterms:modified>
</cp:coreProperties>
</file>