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F16" w:rsidRPr="00B977EB" w:rsidRDefault="005E1F16">
      <w:pPr>
        <w:pStyle w:val="Heading0"/>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33"/>
        </w:rPr>
      </w:pPr>
      <w:r w:rsidRPr="00B977EB">
        <w:rPr>
          <w:rFonts w:ascii="Calibri" w:hAnsi="Calibri" w:cs="Calibri"/>
          <w:sz w:val="33"/>
        </w:rPr>
        <w:t>The European Internet:</w:t>
      </w:r>
      <w:r w:rsidRPr="00B977EB">
        <w:rPr>
          <w:rFonts w:ascii="Calibri" w:hAnsi="Calibri" w:cs="Calibri"/>
          <w:sz w:val="33"/>
        </w:rPr>
        <w:br/>
        <w:t>Common interests and EU legal achievements</w:t>
      </w:r>
    </w:p>
    <w:p w:rsidR="005E1F16" w:rsidRPr="00B977EB" w:rsidRDefault="005E1F16">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4B4650" w:rsidRPr="00B977EB" w:rsidRDefault="004B465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5E1F16" w:rsidRPr="00B977EB" w:rsidRDefault="005E1F16" w:rsidP="004841C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lang w:val="fr-FR"/>
        </w:rPr>
      </w:pPr>
      <w:r w:rsidRPr="00B977EB">
        <w:rPr>
          <w:rFonts w:ascii="Calibri" w:hAnsi="Calibri" w:cs="Calibri"/>
          <w:b/>
          <w:sz w:val="22"/>
          <w:lang w:val="fr-FR"/>
        </w:rPr>
        <w:t>Pierre Bonis</w:t>
      </w:r>
      <w:r w:rsidRPr="00B977EB">
        <w:rPr>
          <w:rFonts w:ascii="Calibri" w:hAnsi="Calibri" w:cs="Calibri"/>
          <w:sz w:val="22"/>
          <w:lang w:val="fr-FR"/>
        </w:rPr>
        <w:t>,</w:t>
      </w:r>
      <w:r w:rsidR="00C27047">
        <w:rPr>
          <w:rFonts w:ascii="Calibri" w:hAnsi="Calibri" w:cs="Calibri"/>
          <w:sz w:val="22"/>
          <w:lang w:val="fr-FR"/>
        </w:rPr>
        <w:t xml:space="preserve"> </w:t>
      </w:r>
      <w:r w:rsidRPr="00B977EB">
        <w:rPr>
          <w:rFonts w:ascii="Calibri" w:hAnsi="Calibri" w:cs="Calibri"/>
          <w:sz w:val="22"/>
          <w:lang w:val="fr-FR"/>
        </w:rPr>
        <w:t>Association Française pour le Nommage Internet en Coopération (AFNIC)</w:t>
      </w:r>
    </w:p>
    <w:p w:rsidR="004B4650" w:rsidRPr="00B977EB" w:rsidRDefault="004B465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lang w:val="fr-FR"/>
        </w:rPr>
      </w:pPr>
    </w:p>
    <w:p w:rsidR="005E1F16" w:rsidRPr="00B977EB" w:rsidRDefault="005E1F16">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r w:rsidRPr="00B977EB">
        <w:rPr>
          <w:rStyle w:val="LineTight"/>
          <w:rFonts w:ascii="Calibri" w:hAnsi="Calibri" w:cs="Calibri"/>
          <w:b/>
          <w:sz w:val="22"/>
        </w:rPr>
        <w:t>For</w:t>
      </w:r>
      <w:r w:rsidRPr="00B977EB">
        <w:rPr>
          <w:rStyle w:val="LineTight"/>
          <w:rFonts w:ascii="Calibri" w:hAnsi="Calibri" w:cs="Calibri"/>
          <w:sz w:val="22"/>
        </w:rPr>
        <w:t xml:space="preserve">: In Jean-Pierre Dardayrol (ed.) </w:t>
      </w:r>
      <w:r w:rsidRPr="00B977EB">
        <w:rPr>
          <w:rStyle w:val="LineTight"/>
          <w:rFonts w:ascii="Calibri" w:hAnsi="Calibri" w:cs="Calibri"/>
          <w:i/>
          <w:sz w:val="22"/>
        </w:rPr>
        <w:t>The European digital union</w:t>
      </w:r>
      <w:r w:rsidRPr="00B977EB">
        <w:rPr>
          <w:rStyle w:val="LineTight"/>
          <w:rFonts w:ascii="Calibri" w:hAnsi="Calibri" w:cs="Calibri"/>
          <w:sz w:val="22"/>
        </w:rPr>
        <w:t xml:space="preserve"> [special issue of </w:t>
      </w:r>
      <w:r w:rsidRPr="00B977EB">
        <w:rPr>
          <w:rStyle w:val="LineTight"/>
          <w:rFonts w:ascii="Calibri" w:hAnsi="Calibri" w:cs="Calibri"/>
          <w:i/>
          <w:sz w:val="22"/>
        </w:rPr>
        <w:t>Réalités Industrielles</w:t>
      </w:r>
      <w:r w:rsidRPr="00B977EB">
        <w:rPr>
          <w:rStyle w:val="LineTight"/>
          <w:rFonts w:ascii="Calibri" w:hAnsi="Calibri" w:cs="Calibri"/>
          <w:sz w:val="22"/>
        </w:rPr>
        <w:t xml:space="preserve">, August 2016] </w:t>
      </w:r>
    </w:p>
    <w:p w:rsidR="005E1F16" w:rsidRPr="00B977EB" w:rsidRDefault="005E1F16">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p>
    <w:p w:rsidR="00E130F5" w:rsidRPr="00B977EB" w:rsidRDefault="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p>
    <w:p w:rsidR="005E1F16" w:rsidRPr="00B977EB" w:rsidRDefault="005E1F16">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r w:rsidRPr="00B977EB">
        <w:rPr>
          <w:rStyle w:val="LineTight"/>
          <w:rFonts w:ascii="Calibri" w:hAnsi="Calibri" w:cs="Calibri"/>
          <w:b/>
          <w:i/>
          <w:sz w:val="22"/>
        </w:rPr>
        <w:t>Summary</w:t>
      </w:r>
      <w:r w:rsidRPr="00B977EB">
        <w:rPr>
          <w:rStyle w:val="LineTight"/>
          <w:rFonts w:ascii="Calibri" w:hAnsi="Calibri" w:cs="Calibri"/>
          <w:sz w:val="22"/>
        </w:rPr>
        <w:t>:</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r w:rsidRPr="00B977EB">
        <w:rPr>
          <w:rStyle w:val="LineTight"/>
          <w:rFonts w:ascii="Calibri" w:hAnsi="Calibri" w:cs="Calibri"/>
          <w:sz w:val="22"/>
        </w:rPr>
        <w:t>As we observe from the history of the Internet’s growth on the continent since the mid-1990s, Europe has never managed to assert itself as an economic and political power in this new segment of the economy. The endless debate over demand- versus supply-side policies has, with respect to the development of a European Internet, turned into an opposition between, on the one side, those who advocate an approach mainly based on stimulating competition for the immediate benefit of consumers and, on the other side, those who want the EU to better protect its industry and create the conditions for the emergence of European champions in digital technology. At international meetings, this wavering of Europe is visible in the disagreement between a northern bloc, very close to American proposals, and a southern one, supportive of specifically European solutions.</w:t>
      </w:r>
    </w:p>
    <w:p w:rsidR="005E1F16" w:rsidRPr="00B977EB" w:rsidRDefault="005E1F16">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p>
    <w:p w:rsidR="005E1F16" w:rsidRPr="00B977EB" w:rsidRDefault="005E1F16">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E130F5" w:rsidRPr="00B977EB" w:rsidRDefault="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5E1F16" w:rsidRPr="00B977EB" w:rsidRDefault="005E1F16">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bookmarkStart w:id="0" w:name="AtStart"/>
      <w:bookmarkStart w:id="1" w:name="Generated_Bookmark1"/>
      <w:bookmarkEnd w:id="0"/>
      <w:bookmarkEnd w:id="1"/>
      <w:r w:rsidRPr="00B977EB">
        <w:rPr>
          <w:rFonts w:ascii="Calibri" w:hAnsi="Calibri" w:cs="Calibri"/>
          <w:sz w:val="33"/>
          <w:u w:val="single"/>
        </w:rPr>
        <w:t>A few points of comparison</w:t>
      </w:r>
    </w:p>
    <w:p w:rsidR="005E1F16" w:rsidRPr="00B977EB" w:rsidRDefault="005E1F16">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The European Union, which usually describes itself as a market of 500 million consumers,</w:t>
      </w:r>
      <w:r w:rsidR="006A279D" w:rsidRPr="00B977EB">
        <w:rPr>
          <w:rStyle w:val="Appelnotedebasdep"/>
          <w:rFonts w:ascii="Calibri" w:hAnsi="Calibri" w:cs="Calibri"/>
          <w:sz w:val="22"/>
        </w:rPr>
        <w:footnoteReference w:id="1"/>
      </w:r>
      <w:r w:rsidRPr="00B977EB">
        <w:rPr>
          <w:rFonts w:ascii="Calibri" w:hAnsi="Calibri" w:cs="Calibri"/>
          <w:sz w:val="22"/>
        </w:rPr>
        <w:t xml:space="preserve"> is, as an economic zone, the leading world power. With a GDP in 2015 of more than €14 billion for its 28 member states, it ranks before the United States and is still the first trading partner for all other regions in the world.</w:t>
      </w:r>
      <w:r w:rsidR="006A279D" w:rsidRPr="00B977EB">
        <w:rPr>
          <w:rStyle w:val="Appelnotedebasdep"/>
          <w:rFonts w:ascii="Calibri" w:hAnsi="Calibri" w:cs="Calibri"/>
          <w:sz w:val="22"/>
        </w:rPr>
        <w:footnoteReference w:id="2"/>
      </w:r>
    </w:p>
    <w:p w:rsidR="004B4650"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When comparing the weight of the digital economy in the EU and US GDPs however, we notice that Europe is lagging. Information and communications technology (ICT) weighed in at 7.1% of the American GDP</w:t>
      </w:r>
      <w:r w:rsidR="006A279D" w:rsidRPr="00B977EB">
        <w:rPr>
          <w:rStyle w:val="Appelnotedebasdep"/>
          <w:rFonts w:ascii="Calibri" w:hAnsi="Calibri" w:cs="Calibri"/>
          <w:sz w:val="22"/>
        </w:rPr>
        <w:footnoteReference w:id="3"/>
      </w:r>
      <w:r w:rsidRPr="00B977EB">
        <w:rPr>
          <w:rFonts w:ascii="Calibri" w:hAnsi="Calibri" w:cs="Calibri"/>
          <w:sz w:val="22"/>
        </w:rPr>
        <w:t xml:space="preserve"> in 2015 whereas it barely amounted to more than 4% of the European.</w:t>
      </w:r>
      <w:r w:rsidR="006A279D" w:rsidRPr="00B977EB">
        <w:rPr>
          <w:rStyle w:val="Appelnotedebasdep"/>
          <w:rFonts w:ascii="Calibri" w:hAnsi="Calibri" w:cs="Calibri"/>
          <w:sz w:val="22"/>
        </w:rPr>
        <w:footnoteReference w:id="4"/>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Let us now turn to the number of Internet users. According to Internet World Stats,</w:t>
      </w:r>
      <w:r w:rsidR="006A279D" w:rsidRPr="00B977EB">
        <w:rPr>
          <w:rStyle w:val="Appelnotedebasdep"/>
          <w:rFonts w:ascii="Calibri" w:hAnsi="Calibri" w:cs="Calibri"/>
          <w:sz w:val="22"/>
        </w:rPr>
        <w:footnoteReference w:id="5"/>
      </w:r>
      <w:r w:rsidRPr="00B977EB">
        <w:rPr>
          <w:rFonts w:ascii="Calibri" w:hAnsi="Calibri" w:cs="Calibri"/>
          <w:sz w:val="22"/>
        </w:rPr>
        <w:t xml:space="preserve"> there are nearly 403 million cybernauts in Europe; in other words, 79.3% of the population uses the Internet. These figures are to compare with the numbers in the United States: close to 281 million; in other words, 87.4% of the population.</w:t>
      </w:r>
      <w:r w:rsidR="006A279D" w:rsidRPr="00B977EB">
        <w:rPr>
          <w:rStyle w:val="Appelnotedebasdep"/>
          <w:rFonts w:ascii="Calibri" w:hAnsi="Calibri" w:cs="Calibri"/>
          <w:sz w:val="22"/>
        </w:rPr>
        <w:footnoteReference w:id="6"/>
      </w:r>
      <w:r w:rsidRPr="00B977EB">
        <w:rPr>
          <w:rFonts w:ascii="Calibri" w:hAnsi="Calibri" w:cs="Calibri"/>
          <w:sz w:val="22"/>
        </w:rPr>
        <w:t xml:space="preserve"> This same source provides us with another precious statistic about the number of Facebook users: (only) 192 million in the US as compared with 236 million in the EU.</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lastRenderedPageBreak/>
        <w:tab/>
        <w:t>As Pascal Perin and Didier Pouillot have clearly shown in a commentary on Europe in the digital economy,</w:t>
      </w:r>
      <w:r w:rsidR="006A279D" w:rsidRPr="00B977EB">
        <w:rPr>
          <w:rStyle w:val="Appelnotedebasdep"/>
          <w:rFonts w:ascii="Calibri" w:hAnsi="Calibri" w:cs="Calibri"/>
          <w:sz w:val="22"/>
        </w:rPr>
        <w:footnoteReference w:id="7"/>
      </w:r>
      <w:r w:rsidRPr="00B977EB">
        <w:rPr>
          <w:rFonts w:ascii="Calibri" w:hAnsi="Calibri" w:cs="Calibri"/>
          <w:sz w:val="22"/>
        </w:rPr>
        <w:t xml:space="preserve"> the EU’s percentage (21%) in worldwide demand for digital services is considerable, but businesses in this field supply only 17% of these services.</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The relative proportions of sales by type of operator in the digital economy diverge widely on the two shores of the Atlantic. In Europe, telecommunications accounts for 58% of sales as compared with 21% in the United States. Nonetheless, we would be wrong to believe that, given the economic structure of its digital economy and the predominance of telecommunications, the European economy has no place for on-line content producers: their share of sales in this sector (16%) slightly surpasses the United States’ (15%). In contrast, over-the-top content (OTT) deliverers, the major business on the Internet, only account for 1% of sales in Europe as compared with 10% in the United States.</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The stage has been set: Europe, an economic powerhouse, has advantages. It represents the world’s biggest potential digital economy market (thanks to its per capita GNP and the high percentage of the population using the Internet); and its financial environment is relatively investment-friendly. However it seems to have no position to defend during international negotiations on digital technology. This economic and political entity even seems to disintegrate when questions are brought up about governance of the Internet, whether during discussions in a very American setting (such as the Internet Corporation for Assigned Names and Numbers, ICANN, and the World Summit on the Information Society, WSIS) or in intergovernmental meetings (such as the UN’s International Telecommunication Union, ITU).</w:t>
      </w:r>
    </w:p>
    <w:p w:rsidR="004B4650"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Do European and American interests actually converge in the digital economy? Why do we feel that nothing specifically European has emerged in this highly strategic sector? This is what we are going to try to understand…</w:t>
      </w:r>
      <w:r w:rsidR="006A279D" w:rsidRPr="00B977EB">
        <w:rPr>
          <w:rStyle w:val="Appelnotedebasdep"/>
          <w:rFonts w:ascii="Calibri" w:hAnsi="Calibri" w:cs="Calibri"/>
          <w:sz w:val="22"/>
        </w:rPr>
        <w:footnoteReference w:id="8"/>
      </w:r>
    </w:p>
    <w:p w:rsidR="005E1F16" w:rsidRPr="00B977EB" w:rsidRDefault="005E1F16" w:rsidP="00E130F5">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2" w:name="Generated_Bookmark2"/>
      <w:bookmarkEnd w:id="2"/>
      <w:r w:rsidRPr="00B977EB">
        <w:rPr>
          <w:rFonts w:ascii="Calibri" w:hAnsi="Calibri" w:cs="Calibri"/>
          <w:sz w:val="33"/>
          <w:u w:val="single"/>
        </w:rPr>
        <w:t>The European approach to digital technology is not economic, and the American approach pretends not to be</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True, the EU has set up DG Connect (a follow-up on DG Information Society), published European digital agendas and released plans for a Digital Single Market.</w:t>
      </w:r>
      <w:r w:rsidR="006A279D" w:rsidRPr="00B977EB">
        <w:rPr>
          <w:rStyle w:val="Appelnotedebasdep"/>
          <w:rFonts w:ascii="Calibri" w:hAnsi="Calibri" w:cs="Calibri"/>
          <w:sz w:val="22"/>
        </w:rPr>
        <w:footnoteReference w:id="9"/>
      </w:r>
      <w:r w:rsidRPr="00B977EB">
        <w:rPr>
          <w:rFonts w:ascii="Calibri" w:hAnsi="Calibri" w:cs="Calibri"/>
          <w:sz w:val="22"/>
        </w:rPr>
        <w:t xml:space="preserve"> However my regular observations on the premises of international negotiations about the governance of the Internet have made me realize that, as a political entity, Europe has held to a constant position since 2000. Let me summarize it as follows:</w:t>
      </w:r>
    </w:p>
    <w:p w:rsidR="005E1F16" w:rsidRPr="00B977EB" w:rsidRDefault="005E1F16" w:rsidP="00E130F5">
      <w:pPr>
        <w:pStyle w:val="DashX"/>
        <w:widowControl/>
        <w:ind w:left="454"/>
        <w:jc w:val="both"/>
        <w:rPr>
          <w:rFonts w:ascii="Calibri" w:hAnsi="Calibri" w:cs="Calibri"/>
          <w:sz w:val="22"/>
        </w:rPr>
      </w:pPr>
      <w:r w:rsidRPr="00B977EB">
        <w:rPr>
          <w:rFonts w:ascii="Calibri" w:hAnsi="Calibri" w:cs="Calibri"/>
          <w:sz w:val="22"/>
        </w:rPr>
        <w:t>● The digital economy’s development is possible only if it goes in hand with a “liberalization” of services, a reinforcement of free, undistorted competition and the opening of doors to economic globalization. Europe soon embraced the idea that the Internet was a tool of globalization. Reflection on this topic has been “</w:t>
      </w:r>
      <w:r w:rsidRPr="00B977EB">
        <w:rPr>
          <w:rFonts w:ascii="Calibri" w:hAnsi="Calibri" w:cs="Calibri"/>
          <w:i/>
          <w:sz w:val="22"/>
        </w:rPr>
        <w:t>part of the EU's efforts towards a ‘regulated globalization’ pursued in the WTO and other appropriate global forums</w:t>
      </w:r>
      <w:r w:rsidRPr="00B977EB">
        <w:rPr>
          <w:rFonts w:ascii="Calibri" w:hAnsi="Calibri" w:cs="Calibri"/>
          <w:sz w:val="22"/>
        </w:rPr>
        <w:t>”.</w:t>
      </w:r>
      <w:r w:rsidR="006A279D" w:rsidRPr="00B977EB">
        <w:rPr>
          <w:rStyle w:val="Appelnotedebasdep"/>
          <w:rFonts w:ascii="Calibri" w:hAnsi="Calibri" w:cs="Calibri"/>
          <w:sz w:val="22"/>
        </w:rPr>
        <w:footnoteReference w:id="10"/>
      </w:r>
    </w:p>
    <w:p w:rsidR="005E1F16" w:rsidRPr="00B977EB" w:rsidRDefault="00173995" w:rsidP="00E130F5">
      <w:pPr>
        <w:pStyle w:val="DashX"/>
        <w:widowControl/>
        <w:ind w:left="454"/>
        <w:jc w:val="both"/>
        <w:rPr>
          <w:rFonts w:ascii="Calibri" w:hAnsi="Calibri" w:cs="Calibri"/>
          <w:sz w:val="22"/>
        </w:rPr>
      </w:pPr>
      <w:r>
        <w:rPr>
          <w:rFonts w:ascii="Calibri" w:hAnsi="Calibri" w:cs="Calibri"/>
          <w:sz w:val="22"/>
        </w:rPr>
        <w:br w:type="page"/>
      </w:r>
      <w:r w:rsidR="005E1F16" w:rsidRPr="00B977EB">
        <w:rPr>
          <w:rFonts w:ascii="Calibri" w:hAnsi="Calibri" w:cs="Calibri"/>
          <w:sz w:val="22"/>
        </w:rPr>
        <w:t>● The political dimension has been constant, presenting the digital economy’s development as inseparable from advances in individual freedoms and referring to the Internet as a tool at the service of the Union’s values. Several passages in the just quoted communication from the Commission to the Council attest to this.</w:t>
      </w:r>
    </w:p>
    <w:p w:rsidR="005E1F16" w:rsidRPr="00B977EB" w:rsidRDefault="005E1F16" w:rsidP="00E130F5">
      <w:pPr>
        <w:pStyle w:val="DashX"/>
        <w:widowControl/>
        <w:ind w:left="454"/>
        <w:jc w:val="both"/>
        <w:rPr>
          <w:rFonts w:ascii="Calibri" w:hAnsi="Calibri" w:cs="Calibri"/>
          <w:sz w:val="22"/>
        </w:rPr>
      </w:pPr>
      <w:r w:rsidRPr="00B977EB">
        <w:rPr>
          <w:rFonts w:ascii="Calibri" w:hAnsi="Calibri" w:cs="Calibri"/>
          <w:sz w:val="22"/>
        </w:rPr>
        <w:t>● The economic dimension has been scaled down to defending the interests of European consumers.</w:t>
      </w:r>
    </w:p>
    <w:p w:rsidR="005E1F16" w:rsidRPr="00B977EB" w:rsidRDefault="005E1F16" w:rsidP="00E130F5">
      <w:pPr>
        <w:pStyle w:val="DashX"/>
        <w:widowControl/>
        <w:ind w:left="454"/>
        <w:jc w:val="both"/>
        <w:rPr>
          <w:rFonts w:ascii="Calibri" w:hAnsi="Calibri" w:cs="Calibri"/>
          <w:sz w:val="22"/>
        </w:rPr>
      </w:pPr>
      <w:r w:rsidRPr="00B977EB">
        <w:rPr>
          <w:rFonts w:ascii="Calibri" w:hAnsi="Calibri" w:cs="Calibri"/>
          <w:sz w:val="22"/>
        </w:rPr>
        <w:t>● The European Commission also considers, continuously since 2000, that the role of member states must be defined negatively: a “good” state is one that does not busy itself with the Internet’s technical aspects, that lifts barriers and loosens regulations.</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These points correspond exactly to what the United States advocates during international negotiations, in particular at the United Nations (ITU, WSIS) and ICANN. This gives the impression that viewpoints are very similar on both shores of the Atlantic, and places the debate on the governance of the Internet in a highly political arena. Bearing in mind the respective weights of ICT in the European and American GDPs, it is legitimate to ask whether Europe should have adopted this position…</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For the United States, it is, of course, not necessary to draw attention to the Internet’s economic dimension. It would even be somewhat counterproductive to do so since, as Olivier Sichel has pointed out in his excellent report on the “American” digital playing field, thirteen out of the twenty biggest “over-the-top” firms in the world are American, eight of them ranking among the first ten in terms of market capitalization.</w:t>
      </w:r>
      <w:r w:rsidR="006A279D" w:rsidRPr="00B977EB">
        <w:rPr>
          <w:rStyle w:val="Appelnotedebasdep"/>
          <w:rFonts w:ascii="Calibri" w:hAnsi="Calibri" w:cs="Calibri"/>
          <w:sz w:val="22"/>
        </w:rPr>
        <w:footnoteReference w:id="11"/>
      </w:r>
      <w:r w:rsidRPr="00B977EB">
        <w:rPr>
          <w:rFonts w:ascii="Calibri" w:hAnsi="Calibri" w:cs="Calibri"/>
          <w:sz w:val="22"/>
        </w:rPr>
        <w:t xml:space="preserve"> In fact, these thirteen firms account for more than 90% of sales by the twenty world leaders.</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 xml:space="preserve">According to the </w:t>
      </w:r>
      <w:r w:rsidRPr="00B977EB">
        <w:rPr>
          <w:rFonts w:ascii="Calibri" w:hAnsi="Calibri" w:cs="Calibri"/>
          <w:i/>
          <w:sz w:val="22"/>
        </w:rPr>
        <w:t>World Startup Report</w:t>
      </w:r>
      <w:r w:rsidRPr="00B977EB">
        <w:rPr>
          <w:rFonts w:ascii="Calibri" w:hAnsi="Calibri" w:cs="Calibri"/>
          <w:sz w:val="22"/>
        </w:rPr>
        <w:t>, no European firm figures on the list of the ten largest market capitalizations in this sector.</w:t>
      </w:r>
      <w:r w:rsidR="006A279D" w:rsidRPr="00B977EB">
        <w:rPr>
          <w:rStyle w:val="Appelnotedebasdep"/>
          <w:rFonts w:ascii="Calibri" w:hAnsi="Calibri" w:cs="Calibri"/>
          <w:sz w:val="22"/>
        </w:rPr>
        <w:footnoteReference w:id="12"/>
      </w:r>
      <w:r w:rsidRPr="00B977EB">
        <w:rPr>
          <w:rFonts w:ascii="Calibri" w:hAnsi="Calibri" w:cs="Calibri"/>
          <w:sz w:val="22"/>
          <w:vertAlign w:val="superscript"/>
        </w:rPr>
        <w:t xml:space="preserve"> </w:t>
      </w:r>
      <w:r w:rsidRPr="00B977EB">
        <w:rPr>
          <w:rFonts w:ascii="Calibri" w:hAnsi="Calibri" w:cs="Calibri"/>
          <w:sz w:val="22"/>
        </w:rPr>
        <w:t>Although this might seem logical given the extreme predominance of GAFAM (Google, Apple, Facebook, Amazon and Microsoft), yet it comes as a surprise when we realize that this ranking of the ten biggest firms only retains one (the biggest) firm per country.</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In this context, how to explain that Europe seems to have the same strategy as the United States in international negotiations even though these two blocs have such divergent economic interests? In a striking contrast, points of contention on trade, agriculture (or even manufacturing) frequently lead to legal clashes between the EU and US, evidence of this being the long list of disputes that these two blocs have brought before the WTO.</w:t>
      </w:r>
      <w:r w:rsidR="006A279D" w:rsidRPr="00B977EB">
        <w:rPr>
          <w:rStyle w:val="Appelnotedebasdep"/>
          <w:rFonts w:ascii="Calibri" w:hAnsi="Calibri" w:cs="Calibri"/>
          <w:sz w:val="22"/>
        </w:rPr>
        <w:footnoteReference w:id="13"/>
      </w:r>
      <w:r w:rsidRPr="00B977EB">
        <w:rPr>
          <w:rFonts w:ascii="Calibri" w:hAnsi="Calibri" w:cs="Calibri"/>
          <w:sz w:val="22"/>
        </w:rPr>
        <w:t xml:space="preserve"> Nevertheless, Europe does not, as we clearly see, oppose the United States on issues related to digital technology.</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In international forums such as the ITU, Europe has even gone as far as to strike an alliance with the United States against China and Russia. This brings to light the pervasiveness of the purely political approach to this question. Adopting a heroic posture, the European Commission vauntingly claimed to have defended an “open Internet” at ITU’s Dubai conference in 2012.</w:t>
      </w:r>
      <w:r w:rsidR="00074EAF" w:rsidRPr="00B977EB">
        <w:rPr>
          <w:rStyle w:val="Appelnotedebasdep"/>
          <w:rFonts w:ascii="Calibri" w:hAnsi="Calibri" w:cs="Calibri"/>
          <w:sz w:val="22"/>
        </w:rPr>
        <w:footnoteReference w:id="14"/>
      </w:r>
      <w:r w:rsidRPr="00B977EB">
        <w:rPr>
          <w:rFonts w:ascii="Calibri" w:hAnsi="Calibri" w:cs="Calibri"/>
          <w:sz w:val="22"/>
        </w:rPr>
        <w:t xml:space="preserve"> In fact, it rallied behind the campaign launched by Google, which, even in the United States, has been criticized as overblown.</w:t>
      </w:r>
      <w:r w:rsidR="00074EAF" w:rsidRPr="00B977EB">
        <w:rPr>
          <w:rStyle w:val="Appelnotedebasdep"/>
          <w:rFonts w:ascii="Calibri" w:hAnsi="Calibri" w:cs="Calibri"/>
          <w:sz w:val="22"/>
        </w:rPr>
        <w:footnoteReference w:id="15"/>
      </w:r>
      <w:r w:rsidRPr="00B977EB">
        <w:rPr>
          <w:rFonts w:ascii="Calibri" w:hAnsi="Calibri" w:cs="Calibri"/>
          <w:sz w:val="22"/>
        </w:rPr>
        <w:t xml:space="preserve"> By doing so, it saw to it that the conference was a failure since it urged EU member states to not sign an ITU treaty declaring that nation-states are free to regulate the economic segment of the Internet inside their borders.</w:t>
      </w:r>
    </w:p>
    <w:p w:rsidR="005E1F16" w:rsidRPr="00B977EB" w:rsidRDefault="005E1F16" w:rsidP="00E130F5">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lang w:val="fr-FR"/>
        </w:rPr>
      </w:pPr>
    </w:p>
    <w:p w:rsidR="004B4650" w:rsidRPr="00B977EB" w:rsidRDefault="002A7106" w:rsidP="00E130F5">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lang w:val="fr-FR"/>
        </w:rPr>
      </w:pPr>
      <w:r w:rsidRPr="00B977EB">
        <w:rPr>
          <w:rFonts w:ascii="Calibri" w:hAnsi="Calibri" w:cs="Calibri"/>
          <w:sz w:val="22"/>
          <w:lang w:val="fr-FR"/>
        </w:rPr>
        <w:br w:type="page"/>
      </w: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060"/>
        <w:gridCol w:w="3928"/>
        <w:gridCol w:w="2800"/>
      </w:tblGrid>
      <w:tr w:rsidR="004B4650" w:rsidRPr="00B977EB" w:rsidTr="006D32D0">
        <w:trPr>
          <w:cantSplit/>
        </w:trPr>
        <w:tc>
          <w:tcPr>
            <w:tcW w:w="8788" w:type="dxa"/>
            <w:gridSpan w:val="3"/>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b/>
                <w:sz w:val="22"/>
              </w:rPr>
              <w:t xml:space="preserve">Ranking of the top three Internet firms in each of fifty countries </w:t>
            </w:r>
            <w:r w:rsidRPr="00B977EB">
              <w:rPr>
                <w:rFonts w:ascii="Calibri" w:hAnsi="Calibri" w:cs="Calibri"/>
                <w:b/>
                <w:sz w:val="22"/>
              </w:rPr>
              <w:br/>
              <w:t>by valuation in billions of dollars</w:t>
            </w:r>
          </w:p>
        </w:tc>
      </w:tr>
      <w:tr w:rsidR="004B4650" w:rsidRPr="00B977EB" w:rsidTr="006D32D0">
        <w:trPr>
          <w:trHeight w:val="298"/>
        </w:trPr>
        <w:tc>
          <w:tcPr>
            <w:tcW w:w="206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b/>
                <w:i/>
                <w:sz w:val="22"/>
              </w:rPr>
              <w:t>Rank</w:t>
            </w:r>
          </w:p>
        </w:tc>
        <w:tc>
          <w:tcPr>
            <w:tcW w:w="3928"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b/>
                <w:i/>
                <w:sz w:val="22"/>
              </w:rPr>
              <w:t>Country</w:t>
            </w:r>
          </w:p>
        </w:tc>
        <w:tc>
          <w:tcPr>
            <w:tcW w:w="280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b/>
                <w:i/>
                <w:sz w:val="22"/>
              </w:rPr>
              <w:t>Billions of US$</w:t>
            </w:r>
          </w:p>
        </w:tc>
      </w:tr>
      <w:tr w:rsidR="004B4650" w:rsidRPr="00B977EB" w:rsidTr="006D32D0">
        <w:tc>
          <w:tcPr>
            <w:tcW w:w="206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1</w:t>
            </w:r>
          </w:p>
        </w:tc>
        <w:tc>
          <w:tcPr>
            <w:tcW w:w="3928"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United States</w:t>
            </w:r>
          </w:p>
        </w:tc>
        <w:tc>
          <w:tcPr>
            <w:tcW w:w="280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$410 B</w:t>
            </w:r>
          </w:p>
        </w:tc>
      </w:tr>
      <w:tr w:rsidR="004B4650" w:rsidRPr="00B977EB" w:rsidTr="006D32D0">
        <w:tc>
          <w:tcPr>
            <w:tcW w:w="206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2</w:t>
            </w:r>
          </w:p>
        </w:tc>
        <w:tc>
          <w:tcPr>
            <w:tcW w:w="3928"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China</w:t>
            </w:r>
          </w:p>
        </w:tc>
        <w:tc>
          <w:tcPr>
            <w:tcW w:w="280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$200 B</w:t>
            </w:r>
          </w:p>
        </w:tc>
      </w:tr>
      <w:tr w:rsidR="004B4650" w:rsidRPr="00B977EB" w:rsidTr="006D32D0">
        <w:tc>
          <w:tcPr>
            <w:tcW w:w="206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3</w:t>
            </w:r>
          </w:p>
        </w:tc>
        <w:tc>
          <w:tcPr>
            <w:tcW w:w="3928"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South Africa</w:t>
            </w:r>
          </w:p>
        </w:tc>
        <w:tc>
          <w:tcPr>
            <w:tcW w:w="280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$46 B</w:t>
            </w:r>
          </w:p>
        </w:tc>
      </w:tr>
      <w:tr w:rsidR="004B4650" w:rsidRPr="00B977EB" w:rsidTr="006D32D0">
        <w:tc>
          <w:tcPr>
            <w:tcW w:w="206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4</w:t>
            </w:r>
          </w:p>
        </w:tc>
        <w:tc>
          <w:tcPr>
            <w:tcW w:w="3928"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South Korea</w:t>
            </w:r>
          </w:p>
        </w:tc>
        <w:tc>
          <w:tcPr>
            <w:tcW w:w="280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$28 B</w:t>
            </w:r>
          </w:p>
        </w:tc>
      </w:tr>
      <w:tr w:rsidR="004B4650" w:rsidRPr="00B977EB" w:rsidTr="006D32D0">
        <w:tc>
          <w:tcPr>
            <w:tcW w:w="206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5</w:t>
            </w:r>
          </w:p>
        </w:tc>
        <w:tc>
          <w:tcPr>
            <w:tcW w:w="3928"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Japan</w:t>
            </w:r>
          </w:p>
        </w:tc>
        <w:tc>
          <w:tcPr>
            <w:tcW w:w="280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$28 B</w:t>
            </w:r>
          </w:p>
        </w:tc>
      </w:tr>
      <w:tr w:rsidR="004B4650" w:rsidRPr="00B977EB" w:rsidTr="006D32D0">
        <w:tc>
          <w:tcPr>
            <w:tcW w:w="206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6</w:t>
            </w:r>
          </w:p>
        </w:tc>
        <w:tc>
          <w:tcPr>
            <w:tcW w:w="3928"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Russia</w:t>
            </w:r>
          </w:p>
        </w:tc>
        <w:tc>
          <w:tcPr>
            <w:tcW w:w="280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$15.8 B</w:t>
            </w:r>
          </w:p>
        </w:tc>
      </w:tr>
      <w:tr w:rsidR="004B4650" w:rsidRPr="00B977EB" w:rsidTr="006D32D0">
        <w:tc>
          <w:tcPr>
            <w:tcW w:w="206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7</w:t>
            </w:r>
          </w:p>
        </w:tc>
        <w:tc>
          <w:tcPr>
            <w:tcW w:w="3928"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Israel</w:t>
            </w:r>
          </w:p>
        </w:tc>
        <w:tc>
          <w:tcPr>
            <w:tcW w:w="280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$13.6 B</w:t>
            </w:r>
          </w:p>
        </w:tc>
      </w:tr>
      <w:tr w:rsidR="004B4650" w:rsidRPr="00B977EB" w:rsidTr="006D32D0">
        <w:trPr>
          <w:trHeight w:val="48"/>
        </w:trPr>
        <w:tc>
          <w:tcPr>
            <w:tcW w:w="206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8</w:t>
            </w:r>
          </w:p>
        </w:tc>
        <w:tc>
          <w:tcPr>
            <w:tcW w:w="3928"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Australia</w:t>
            </w:r>
          </w:p>
        </w:tc>
        <w:tc>
          <w:tcPr>
            <w:tcW w:w="280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$6.6 B</w:t>
            </w:r>
          </w:p>
        </w:tc>
      </w:tr>
      <w:tr w:rsidR="004B4650" w:rsidRPr="00B977EB" w:rsidTr="006D32D0">
        <w:trPr>
          <w:trHeight w:val="48"/>
        </w:trPr>
        <w:tc>
          <w:tcPr>
            <w:tcW w:w="206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9</w:t>
            </w:r>
          </w:p>
        </w:tc>
        <w:tc>
          <w:tcPr>
            <w:tcW w:w="3928"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Brazil</w:t>
            </w:r>
          </w:p>
        </w:tc>
        <w:tc>
          <w:tcPr>
            <w:tcW w:w="280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$6.4 B</w:t>
            </w:r>
          </w:p>
        </w:tc>
      </w:tr>
      <w:tr w:rsidR="004B4650" w:rsidRPr="00B977EB" w:rsidTr="006D32D0">
        <w:trPr>
          <w:trHeight w:val="48"/>
        </w:trPr>
        <w:tc>
          <w:tcPr>
            <w:tcW w:w="206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10</w:t>
            </w:r>
          </w:p>
        </w:tc>
        <w:tc>
          <w:tcPr>
            <w:tcW w:w="3928"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Canada</w:t>
            </w:r>
          </w:p>
        </w:tc>
        <w:tc>
          <w:tcPr>
            <w:tcW w:w="2800" w:type="dxa"/>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Calibri" w:hAnsi="Calibri" w:cs="Calibri"/>
                <w:sz w:val="22"/>
              </w:rPr>
            </w:pPr>
            <w:r w:rsidRPr="00B977EB">
              <w:rPr>
                <w:rFonts w:ascii="Calibri" w:hAnsi="Calibri" w:cs="Calibri"/>
                <w:sz w:val="22"/>
              </w:rPr>
              <w:t>$6.3 B</w:t>
            </w:r>
          </w:p>
        </w:tc>
      </w:tr>
      <w:tr w:rsidR="004B4650" w:rsidRPr="00B977EB" w:rsidTr="006D32D0">
        <w:trPr>
          <w:cantSplit/>
        </w:trPr>
        <w:tc>
          <w:tcPr>
            <w:tcW w:w="8788" w:type="dxa"/>
            <w:gridSpan w:val="3"/>
            <w:tcMar>
              <w:top w:w="56" w:type="dxa"/>
              <w:left w:w="113" w:type="dxa"/>
              <w:bottom w:w="56" w:type="dxa"/>
              <w:right w:w="56" w:type="dxa"/>
            </w:tcMar>
          </w:tcPr>
          <w:p w:rsidR="004B4650" w:rsidRPr="00B977EB" w:rsidRDefault="004B4650" w:rsidP="006D32D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0"/>
              </w:rPr>
            </w:pPr>
            <w:r w:rsidRPr="00B977EB">
              <w:rPr>
                <w:rFonts w:ascii="Calibri" w:hAnsi="Calibri" w:cs="Calibri"/>
                <w:i/>
                <w:sz w:val="20"/>
              </w:rPr>
              <w:t>Source</w:t>
            </w:r>
            <w:r w:rsidRPr="00B977EB">
              <w:rPr>
                <w:rFonts w:ascii="Calibri" w:hAnsi="Calibri" w:cs="Calibri"/>
                <w:sz w:val="20"/>
              </w:rPr>
              <w:t>: World Startup Report. Available at:</w:t>
            </w:r>
            <w:r w:rsidRPr="00B977EB">
              <w:rPr>
                <w:rFonts w:ascii="Calibri" w:hAnsi="Calibri" w:cs="Calibri"/>
                <w:sz w:val="20"/>
              </w:rPr>
              <w:br/>
              <w:t>http://www.worldstartupwiki.org/page/Internet_Hall_Of_Fame &amp; https://docs.google.com/spreadsheets/d/1XrExbBV6810NANr_jFOXNEsQkLGm_Qs6TQb5X_OfXGc/edit#gid=0</w:t>
            </w:r>
          </w:p>
        </w:tc>
      </w:tr>
    </w:tbl>
    <w:p w:rsidR="004B4650" w:rsidRPr="00B977EB" w:rsidRDefault="004B4650" w:rsidP="00E130F5">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lang w:val="fr-FR"/>
        </w:rPr>
      </w:pP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lang w:val="fr-FR"/>
        </w:rPr>
      </w:pP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3" w:name="Generated_Bookmark3"/>
      <w:bookmarkEnd w:id="3"/>
      <w:r w:rsidRPr="00B977EB">
        <w:rPr>
          <w:rFonts w:ascii="Calibri" w:hAnsi="Calibri" w:cs="Calibri"/>
          <w:sz w:val="33"/>
          <w:u w:val="single"/>
        </w:rPr>
        <w:t>A Europe of consumption, not of production</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4B4650"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It would be unfair to rest satisfied with this impression of Europe being simply aligned on the American position, which emphasizes the Internet’s political (even nearly messianic) dimension in order to hide its overwhelming economic supremacy. This strategy allows for condemning (under cover of the fight for… freedom) attempts to question the supremacy of the big American firms, but it is not at all effective for convincing the world that the expansion of the big American platforms ought to have as corollary the ever longer arm of American consumer law. The Commission has turned out to be punctilious on this point. Several examples illustrate the differences between the two approaches.</w:t>
      </w:r>
    </w:p>
    <w:p w:rsidR="002A710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A priority for the EU is to protect, by stimulating competition, the rights of consumers to benefit from less expensive services. The best example of the importance (and success from the consumer’s viewpoint) of this approach is, without any doubt, the prices now applied on the continent for a connection to the Internet and for mobile telephony devices.</w:t>
      </w:r>
    </w:p>
    <w:p w:rsidR="002A710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According to Pascal Perin and Didier Pouillot in the aforementioned study</w:t>
      </w:r>
      <w:r w:rsidRPr="00B977EB">
        <w:rPr>
          <w:rFonts w:ascii="Calibri" w:hAnsi="Calibri" w:cs="Calibri"/>
          <w:sz w:val="22"/>
          <w:vertAlign w:val="superscript"/>
        </w:rPr>
        <w:t>(7)</w:t>
      </w:r>
      <w:r w:rsidRPr="00B977EB">
        <w:rPr>
          <w:rFonts w:ascii="Calibri" w:hAnsi="Calibri" w:cs="Calibri"/>
          <w:sz w:val="22"/>
        </w:rPr>
        <w:t xml:space="preserve">, </w:t>
      </w:r>
      <w:r w:rsidRPr="00B977EB">
        <w:rPr>
          <w:rStyle w:val="Redline"/>
          <w:rFonts w:ascii="Calibri" w:hAnsi="Calibri" w:cs="Calibri"/>
          <w:sz w:val="22"/>
        </w:rPr>
        <w:t>Europe is the only region in the world where the telecommunications sector is declining, “</w:t>
      </w:r>
      <w:r w:rsidRPr="00B977EB">
        <w:rPr>
          <w:rStyle w:val="Redline"/>
          <w:rFonts w:ascii="Calibri" w:hAnsi="Calibri" w:cs="Calibri"/>
          <w:i/>
          <w:sz w:val="22"/>
        </w:rPr>
        <w:t>the market having decreased in value by nearly 3% per year</w:t>
      </w:r>
      <w:r w:rsidRPr="00B977EB">
        <w:rPr>
          <w:rStyle w:val="Redline"/>
          <w:rFonts w:ascii="Calibri" w:hAnsi="Calibri" w:cs="Calibri"/>
          <w:sz w:val="22"/>
        </w:rPr>
        <w:t>” during the period from 2009 to 2014. Furthermore, “</w:t>
      </w:r>
      <w:r w:rsidRPr="00B977EB">
        <w:rPr>
          <w:rStyle w:val="Redline"/>
          <w:rFonts w:ascii="Calibri" w:hAnsi="Calibri" w:cs="Calibri"/>
          <w:i/>
          <w:sz w:val="22"/>
        </w:rPr>
        <w:t>this decline is mainly due to a drop in telecommunication services affected by lower prices</w:t>
      </w:r>
      <w:r w:rsidRPr="00B977EB">
        <w:rPr>
          <w:rStyle w:val="Redline"/>
          <w:rFonts w:ascii="Calibri" w:hAnsi="Calibri" w:cs="Calibri"/>
          <w:sz w:val="22"/>
        </w:rPr>
        <w:t xml:space="preserve">”. </w:t>
      </w:r>
      <w:r w:rsidRPr="00B977EB">
        <w:rPr>
          <w:rFonts w:ascii="Calibri" w:hAnsi="Calibri" w:cs="Calibri"/>
          <w:sz w:val="22"/>
        </w:rPr>
        <w:t>The attention turned exclusively toward defending consumers’ interests has a price…</w:t>
      </w:r>
    </w:p>
    <w:p w:rsidR="005E1F16" w:rsidRPr="00B977EB" w:rsidRDefault="002A710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br w:type="page"/>
      </w:r>
      <w:r w:rsidR="005E1F16" w:rsidRPr="00B977EB">
        <w:rPr>
          <w:rFonts w:ascii="Calibri" w:hAnsi="Calibri" w:cs="Calibri"/>
          <w:sz w:val="22"/>
        </w:rPr>
        <w:tab/>
        <w:t>By recalling how much telecommunications represents in total ICT sales in Europe, we realize how much value is now being destroyed in the EU. All the same, Europe has become the economic zone where the pricing for Internet access is among the lowest in the world. Much ado, notwithstanding that, as previously shown, the percentage of the population using the Internet in Europe is much lower than in the United States; and yet American consumers pay much more for access. Without any European champion among OTT content deliverers, Europe apparently does not seem to know what to defend during international negotiations, apart from the right of citizens to make ever more connections to Facebook at an ever lower price.</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Since the Junker Commission took office however, the EU has started imagining that it might formulate more clearly its own position on digital technology, even if this means making the big American firms irate. The confidentiality of personal data or the fight against the abuse of dominant position are two levers the Commission will be using more frequently. On the issue of data confidentiality, I would like to point out that it was the Court of Justice of the European Union (the CJEU and not the Commission) that decided to force Google’s hand on the application of the “right to be forgotten”.</w:t>
      </w:r>
      <w:r w:rsidR="00074EAF" w:rsidRPr="00B977EB">
        <w:rPr>
          <w:rStyle w:val="Appelnotedebasdep"/>
          <w:rFonts w:ascii="Calibri" w:hAnsi="Calibri" w:cs="Calibri"/>
          <w:sz w:val="22"/>
        </w:rPr>
        <w:footnoteReference w:id="16"/>
      </w:r>
      <w:r w:rsidRPr="00B977EB">
        <w:rPr>
          <w:rFonts w:ascii="Calibri" w:hAnsi="Calibri" w:cs="Calibri"/>
          <w:sz w:val="22"/>
        </w:rPr>
        <w:t xml:space="preserve"> Furthermore, this same court invalidated in October 2015 the European Commission’s US Safe Harbour decision, whereby the United States “</w:t>
      </w:r>
      <w:r w:rsidRPr="00B977EB">
        <w:rPr>
          <w:rFonts w:ascii="Calibri" w:hAnsi="Calibri" w:cs="Calibri"/>
          <w:i/>
          <w:sz w:val="22"/>
        </w:rPr>
        <w:t>ensures an adequate level of protection of the personal data transferred</w:t>
      </w:r>
      <w:r w:rsidRPr="00B977EB">
        <w:rPr>
          <w:rFonts w:ascii="Calibri" w:hAnsi="Calibri" w:cs="Calibri"/>
          <w:sz w:val="22"/>
        </w:rPr>
        <w:t>”.</w:t>
      </w:r>
      <w:r w:rsidR="00074EAF" w:rsidRPr="00B977EB">
        <w:rPr>
          <w:rStyle w:val="Appelnotedebasdep"/>
          <w:rFonts w:ascii="Calibri" w:hAnsi="Calibri" w:cs="Calibri"/>
          <w:sz w:val="22"/>
        </w:rPr>
        <w:footnoteReference w:id="17"/>
      </w:r>
      <w:r w:rsidRPr="00B977EB">
        <w:rPr>
          <w:rFonts w:ascii="Calibri" w:hAnsi="Calibri" w:cs="Calibri"/>
          <w:sz w:val="22"/>
        </w:rPr>
        <w:t xml:space="preserve"> In the latter case, the CJEU was judging a complaint filed against Facebook. It is as if the judicial power were forcing the European executive to include the protection of European citizens in the digital realm among the EU’s legal achievements. When the Union talks about the Internet, it sometimes “forgets” to assert its differences. Meanwhile, usual procedures have been used to fight against the abuse of dominant position and against market distortions.</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These fields of the Commission’s actions are assigned to the Directorate-General for Competition. Although these actions might have a major impact on targeted firms, they do not stem from an industrial strategy for breeding European champions. It is, in fact, worth noting that the first major case setting the Commission at odds with an American giant (Microsoft) in the digital economy was launched by two of the latter’s American competitors (Sun and Novell).</w:t>
      </w:r>
      <w:r w:rsidR="00074EAF" w:rsidRPr="00B977EB">
        <w:rPr>
          <w:rStyle w:val="Appelnotedebasdep"/>
          <w:rFonts w:ascii="Calibri" w:hAnsi="Calibri" w:cs="Calibri"/>
          <w:sz w:val="22"/>
        </w:rPr>
        <w:footnoteReference w:id="18"/>
      </w:r>
      <w:r w:rsidRPr="00B977EB">
        <w:rPr>
          <w:rFonts w:ascii="Calibri" w:hAnsi="Calibri" w:cs="Calibri"/>
          <w:sz w:val="22"/>
        </w:rPr>
        <w:t xml:space="preserve"> The DG Competition also has an inquiry under way against Google, about the excessive use of the application Google Shopping in the Android environment on smartphones. It resembles the case previously brought against Microsoft; but this time, the victim of this abuse of dominant position turns out to be… Facebook!</w:t>
      </w:r>
      <w:r w:rsidR="00074EAF" w:rsidRPr="00B977EB">
        <w:rPr>
          <w:rStyle w:val="Appelnotedebasdep"/>
          <w:rFonts w:ascii="Calibri" w:hAnsi="Calibri" w:cs="Calibri"/>
          <w:sz w:val="22"/>
        </w:rPr>
        <w:footnoteReference w:id="19"/>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As we clearly see, the differences in size and in market shares among European and American players in the digital economy are such that the Commission’s actions, when they try to enforce the EU’s legal achievements, end up arbitrating contentions between rival American firms.</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We still fail to see how EU actions reflect an industrial strategy for our continent’s digital economy…</w:t>
      </w:r>
    </w:p>
    <w:p w:rsidR="005E1F16" w:rsidRPr="00B977EB" w:rsidRDefault="005E1F16" w:rsidP="00E130F5">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u w:val="none"/>
        </w:rPr>
      </w:pP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5E1F16" w:rsidRPr="00B977EB" w:rsidRDefault="002A710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4" w:name="Generated_Bookmark4"/>
      <w:bookmarkEnd w:id="4"/>
      <w:r w:rsidRPr="00B977EB">
        <w:rPr>
          <w:rFonts w:ascii="Calibri" w:hAnsi="Calibri" w:cs="Calibri"/>
          <w:sz w:val="33"/>
          <w:u w:val="single"/>
        </w:rPr>
        <w:br w:type="page"/>
      </w:r>
      <w:r w:rsidR="005E1F16" w:rsidRPr="00B977EB">
        <w:rPr>
          <w:rFonts w:ascii="Calibri" w:hAnsi="Calibri" w:cs="Calibri"/>
          <w:sz w:val="33"/>
          <w:u w:val="single"/>
        </w:rPr>
        <w:t>Europe, the world’s largest digital market, but not for European firms</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When there is talk about the digital economy, Europe seems afflicted with a sort of complex. Despite its strength owing to its powerful players in telecommunications, it is still, as a political entity, extremely close to the ideas advanced by alternative (OTT) services for bypassing traditional network operators. This is clearly illustrated in the debate about “web (or net) neutrality”, which quite regularly sets off commotion in the European digital ecosystem. In this debate, web neutrality is said to be the same as the free circulation of ideas; but it is, too, the technical rendering of the idea of free enterprise…</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Once again, behind the political rhetoric surrounding this concept of neutrality, a battle is raging between operators in telecommunications and the OTT content deliverers. These operators (who have to continue investing in networks) consider that the major users (the OTT firms) of these networks do not participate enough in financing them. Though simple in theory, this question about how to distribute value is complicated owing to an approach that, once again, is very political. Is web neutrality threatened if Google is asked to pay its fair share of the cost of transmitting its contents toward a subscriber of an Internet access-provider (such as Free)?</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We could support the argument if the big platforms were not developing their own strategies in clear opposition to these very principles. Such is the case of the touted “zero-rating” offers that, launched by Facebook in India, have been rejected by the Indian telecommunication authority, but that are now being made via Google’s YouTube in the United States.</w:t>
      </w:r>
      <w:r w:rsidR="00074EAF" w:rsidRPr="00B977EB">
        <w:rPr>
          <w:rStyle w:val="Appelnotedebasdep"/>
          <w:rFonts w:ascii="Calibri" w:hAnsi="Calibri" w:cs="Calibri"/>
          <w:sz w:val="22"/>
        </w:rPr>
        <w:footnoteReference w:id="20"/>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We understand the economics of zero-rating, but we cannot support both the principles of net neutrality and such offers. In effect, zero-rating allows cybernauts to have access to contents on the Internet, but without being billed by a telecommunications operator — as if this access were made without using a broadband connection. Of course, zero-rating has no interest for consumers who have unlimited access thanks to a fixed-fee subscription. But when access is billed as a function of the broadband packages transmitted (as frequently happens for mobile subscriptions or subscriptions in developing countries), zero-rating is then of interest for three reasons:</w:t>
      </w:r>
    </w:p>
    <w:p w:rsidR="005E1F16" w:rsidRPr="00B977EB" w:rsidRDefault="005E1F16" w:rsidP="00E130F5">
      <w:pPr>
        <w:pStyle w:val="DashX"/>
        <w:widowControl/>
        <w:ind w:left="454"/>
        <w:jc w:val="both"/>
        <w:rPr>
          <w:rFonts w:ascii="Calibri" w:hAnsi="Calibri" w:cs="Calibri"/>
          <w:sz w:val="22"/>
        </w:rPr>
      </w:pPr>
      <w:r w:rsidRPr="00B977EB">
        <w:rPr>
          <w:rFonts w:ascii="Calibri" w:hAnsi="Calibri" w:cs="Calibri"/>
          <w:sz w:val="22"/>
        </w:rPr>
        <w:t>● For the OTT content deliverer, zero-rating makes the content it proposes more attractive, increases the number of persons using its services and allows for sponsoring content with access-providers.</w:t>
      </w:r>
    </w:p>
    <w:p w:rsidR="005E1F16" w:rsidRPr="00B977EB" w:rsidRDefault="005E1F16" w:rsidP="00E130F5">
      <w:pPr>
        <w:pStyle w:val="DashX"/>
        <w:widowControl/>
        <w:ind w:left="454"/>
        <w:jc w:val="both"/>
        <w:rPr>
          <w:rFonts w:ascii="Calibri" w:hAnsi="Calibri" w:cs="Calibri"/>
          <w:sz w:val="22"/>
        </w:rPr>
      </w:pPr>
      <w:r w:rsidRPr="00B977EB">
        <w:rPr>
          <w:rFonts w:ascii="Calibri" w:hAnsi="Calibri" w:cs="Calibri"/>
          <w:sz w:val="22"/>
        </w:rPr>
        <w:t>● For the access-provider, part of the costs (which it bears as a telecommunication company) of broadband transmissions is covered by the OTT deliverer.</w:t>
      </w:r>
    </w:p>
    <w:p w:rsidR="005E1F16" w:rsidRPr="00B977EB" w:rsidRDefault="005E1F16" w:rsidP="00E130F5">
      <w:pPr>
        <w:pStyle w:val="DashX"/>
        <w:widowControl/>
        <w:ind w:left="454"/>
        <w:jc w:val="both"/>
        <w:rPr>
          <w:rFonts w:ascii="Calibri" w:hAnsi="Calibri" w:cs="Calibri"/>
          <w:sz w:val="22"/>
        </w:rPr>
      </w:pPr>
      <w:r w:rsidRPr="00B977EB">
        <w:rPr>
          <w:rFonts w:ascii="Calibri" w:hAnsi="Calibri" w:cs="Calibri"/>
          <w:sz w:val="22"/>
        </w:rPr>
        <w:t>● For users, zero-rating reduces the cost of subscriptions.</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Of course, all of this rips to pieces web neutrality, which the telecommunications access-provider must normally respect when routing streams of data over the Internet.</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The very fact that American telecommunication firms and OTT deliverers might work out an unlawful agreement on this topic is evidence that the EU’s approach, which, — for years now, has brushed aside the economic dimension of net neutrality so as to retain the political dimension alone — is, once again, erroneous.</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If Europe wants to fully use its many assets to develop a genuine digital industry of its own, it should work out its position at the international level in line with its direct economic interests. This does not seem to be the case today. Simply repeating that Europe wants to be a vector of progressive ideas (individual freedoms and the inclusion of all parties active in developing the Internet) does not suffice to guarantee our continent’s independence given the predominance of the United States and, too, of Asia in the Internet economy.</w:t>
      </w:r>
    </w:p>
    <w:p w:rsidR="005E1F16" w:rsidRPr="00B977EB" w:rsidRDefault="005E1F16" w:rsidP="00E130F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977EB">
        <w:rPr>
          <w:rFonts w:ascii="Calibri" w:hAnsi="Calibri" w:cs="Calibri"/>
          <w:sz w:val="22"/>
        </w:rPr>
        <w:tab/>
        <w:t>Without giving up its principles, the EU has the duty to work out arguments and a winning strategy for the sake of its digital industry.</w:t>
      </w:r>
    </w:p>
    <w:sectPr w:rsidR="005E1F16" w:rsidRPr="00B977EB" w:rsidSect="0017399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94"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BD" w:rsidRDefault="00A235BD">
      <w:r>
        <w:separator/>
      </w:r>
    </w:p>
  </w:endnote>
  <w:endnote w:type="continuationSeparator" w:id="0">
    <w:p w:rsidR="00A235BD" w:rsidRDefault="00A2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16" w:rsidRPr="00C27047" w:rsidRDefault="00C27047" w:rsidP="00C27047">
    <w:pPr>
      <w:pStyle w:val="Pieddepage"/>
      <w:jc w:val="right"/>
      <w:rPr>
        <w:rFonts w:ascii="Calibri" w:hAnsi="Calibri" w:cs="Calibri"/>
      </w:rPr>
    </w:pPr>
    <w:r>
      <w:rPr>
        <w:rFonts w:ascii="Calibri" w:hAnsi="Calibri" w:cs="Calibri"/>
        <w:color w:val="E20936"/>
        <w:sz w:val="22"/>
        <w:szCs w:val="22"/>
      </w:rPr>
      <w:t xml:space="preserve">Réalités Industrielles – August 2016 </w:t>
    </w:r>
    <w:r>
      <w:rPr>
        <w:rFonts w:ascii="Calibri" w:hAnsi="Calibri" w:cs="Calibri"/>
        <w:color w:val="E20936"/>
        <w:sz w:val="22"/>
        <w:szCs w:val="22"/>
        <w:lang w:val="fr-FR"/>
      </w:rPr>
      <w:t xml:space="preserve">- </w:t>
    </w:r>
    <w:r>
      <w:rPr>
        <w:rFonts w:ascii="Calibri" w:hAnsi="Calibri" w:cs="Calibri"/>
        <w:color w:val="E20936"/>
        <w:sz w:val="22"/>
        <w:szCs w:val="22"/>
      </w:rPr>
      <w:fldChar w:fldCharType="begin"/>
    </w:r>
    <w:r>
      <w:rPr>
        <w:rFonts w:ascii="Calibri" w:hAnsi="Calibri" w:cs="Calibri"/>
        <w:color w:val="E20936"/>
        <w:sz w:val="22"/>
        <w:szCs w:val="22"/>
      </w:rPr>
      <w:instrText>PAGE   \* MERGEFORMAT</w:instrText>
    </w:r>
    <w:r>
      <w:rPr>
        <w:rFonts w:ascii="Calibri" w:hAnsi="Calibri" w:cs="Calibri"/>
        <w:color w:val="E20936"/>
        <w:sz w:val="22"/>
        <w:szCs w:val="22"/>
      </w:rPr>
      <w:fldChar w:fldCharType="separate"/>
    </w:r>
    <w:r w:rsidRPr="00C27047">
      <w:rPr>
        <w:rFonts w:ascii="Calibri" w:hAnsi="Calibri" w:cs="Calibri"/>
        <w:noProof/>
        <w:color w:val="E20936"/>
        <w:sz w:val="22"/>
        <w:szCs w:val="22"/>
        <w:lang w:val="fr-FR"/>
      </w:rPr>
      <w:t>2</w:t>
    </w:r>
    <w:r>
      <w:rPr>
        <w:rFonts w:ascii="Calibri" w:hAnsi="Calibri" w:cs="Calibri"/>
        <w:color w:val="E20936"/>
        <w:sz w:val="22"/>
        <w:szCs w:val="22"/>
      </w:rPr>
      <w:fldChar w:fldCharType="end"/>
    </w:r>
    <w:bookmarkStart w:id="5" w:name="_GoBack"/>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16" w:rsidRPr="00FB2646" w:rsidRDefault="00FB2646" w:rsidP="00FB2646">
    <w:pPr>
      <w:pStyle w:val="Pieddepage"/>
      <w:jc w:val="right"/>
      <w:rPr>
        <w:rFonts w:ascii="Calibri" w:hAnsi="Calibri" w:cs="Calibri"/>
      </w:rPr>
    </w:pPr>
    <w:r w:rsidRPr="00F32844">
      <w:rPr>
        <w:rFonts w:ascii="Calibri" w:hAnsi="Calibri" w:cs="Calibri"/>
        <w:color w:val="E20936"/>
        <w:sz w:val="22"/>
        <w:szCs w:val="22"/>
      </w:rPr>
      <w:t>Réalités Industrielles – August 2016</w:t>
    </w:r>
    <w:r>
      <w:rPr>
        <w:rFonts w:ascii="Calibri" w:hAnsi="Calibri" w:cs="Calibri"/>
        <w:color w:val="E20936"/>
        <w:sz w:val="22"/>
        <w:szCs w:val="22"/>
      </w:rPr>
      <w:t xml:space="preserve"> </w:t>
    </w:r>
    <w:r w:rsidRPr="00F32844">
      <w:rPr>
        <w:rFonts w:ascii="Calibri" w:hAnsi="Calibri" w:cs="Calibri"/>
        <w:color w:val="E20936"/>
        <w:sz w:val="22"/>
        <w:szCs w:val="22"/>
        <w:lang w:val="fr-FR"/>
      </w:rPr>
      <w:t xml:space="preserve">- </w:t>
    </w:r>
    <w:r w:rsidRPr="00F32844">
      <w:rPr>
        <w:rFonts w:ascii="Calibri" w:hAnsi="Calibri" w:cs="Calibri"/>
        <w:color w:val="E20936"/>
        <w:sz w:val="22"/>
        <w:szCs w:val="22"/>
      </w:rPr>
      <w:fldChar w:fldCharType="begin"/>
    </w:r>
    <w:r w:rsidRPr="00F32844">
      <w:rPr>
        <w:rFonts w:ascii="Calibri" w:hAnsi="Calibri" w:cs="Calibri"/>
        <w:color w:val="E20936"/>
        <w:sz w:val="22"/>
        <w:szCs w:val="22"/>
      </w:rPr>
      <w:instrText>PAGE   \* MERGEFORMAT</w:instrText>
    </w:r>
    <w:r w:rsidRPr="00F32844">
      <w:rPr>
        <w:rFonts w:ascii="Calibri" w:hAnsi="Calibri" w:cs="Calibri"/>
        <w:color w:val="E20936"/>
        <w:sz w:val="22"/>
        <w:szCs w:val="22"/>
      </w:rPr>
      <w:fldChar w:fldCharType="separate"/>
    </w:r>
    <w:r w:rsidR="00A235BD" w:rsidRPr="00A235BD">
      <w:rPr>
        <w:rFonts w:ascii="Calibri" w:hAnsi="Calibri" w:cs="Calibri"/>
        <w:noProof/>
        <w:color w:val="E20936"/>
        <w:sz w:val="22"/>
        <w:szCs w:val="22"/>
        <w:lang w:val="fr-FR"/>
      </w:rPr>
      <w:t>1</w:t>
    </w:r>
    <w:r w:rsidRPr="00F32844">
      <w:rPr>
        <w:rFonts w:ascii="Calibri" w:hAnsi="Calibri" w:cs="Calibri"/>
        <w:color w:val="E20936"/>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46" w:rsidRDefault="00FB26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BD" w:rsidRDefault="00A235BD">
      <w:r>
        <w:separator/>
      </w:r>
    </w:p>
  </w:footnote>
  <w:footnote w:type="continuationSeparator" w:id="0">
    <w:p w:rsidR="00A235BD" w:rsidRDefault="00A235BD">
      <w:r>
        <w:continuationSeparator/>
      </w:r>
    </w:p>
  </w:footnote>
  <w:footnote w:id="1">
    <w:p w:rsidR="006A279D" w:rsidRPr="00196521" w:rsidRDefault="006A279D" w:rsidP="006A279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See the EU website on European law: </w:t>
      </w:r>
      <w:r w:rsidR="004B4650" w:rsidRPr="00196521">
        <w:rPr>
          <w:rFonts w:ascii="Calibri" w:hAnsi="Calibri" w:cs="Calibri"/>
          <w:sz w:val="16"/>
          <w:szCs w:val="16"/>
        </w:rPr>
        <w:br/>
        <w:t>http://eur</w:t>
      </w:r>
      <w:r w:rsidRPr="00196521">
        <w:rPr>
          <w:rFonts w:ascii="Calibri" w:hAnsi="Calibri" w:cs="Calibri"/>
          <w:sz w:val="16"/>
          <w:szCs w:val="16"/>
        </w:rPr>
        <w:t xml:space="preserve">lex.europa.eu/summary/chapter/consumers.html?locale=fr&amp;root_default=SUM_1_CODED%3D09 </w:t>
      </w:r>
    </w:p>
  </w:footnote>
  <w:footnote w:id="2">
    <w:p w:rsidR="006A279D" w:rsidRPr="00196521" w:rsidRDefault="006A279D" w:rsidP="006A279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http://europa.eu/about-eu/facts-figures/economy/index_fr.htm</w:t>
      </w:r>
    </w:p>
  </w:footnote>
  <w:footnote w:id="3">
    <w:p w:rsidR="006A279D" w:rsidRPr="00196521" w:rsidRDefault="006A279D" w:rsidP="006A279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In the United Staters, the tech industry accounts for 7.1% of overall GDP and 11.4% of total private-sector payroll. See: https://www.comptia.org </w:t>
      </w:r>
    </w:p>
  </w:footnote>
  <w:footnote w:id="4">
    <w:p w:rsidR="006A279D" w:rsidRPr="00196521" w:rsidRDefault="006A279D" w:rsidP="006A279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https://ec.europa.eu/digital-single-market/en/news/digital-agenda-scoreboard-2015-most-targets-reached-time-has-come-lift-digital-borders </w:t>
      </w:r>
    </w:p>
  </w:footnote>
  <w:footnote w:id="5">
    <w:p w:rsidR="006A279D" w:rsidRPr="00196521" w:rsidRDefault="006A279D" w:rsidP="006A279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http://www.internetworldstats.com/stats9.htm</w:t>
      </w:r>
    </w:p>
  </w:footnote>
  <w:footnote w:id="6">
    <w:p w:rsidR="006A279D" w:rsidRPr="00196521" w:rsidRDefault="006A279D" w:rsidP="006A279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http://www.internetworldstats.com/stats2.htm </w:t>
      </w:r>
    </w:p>
  </w:footnote>
  <w:footnote w:id="7">
    <w:p w:rsidR="006A279D" w:rsidRPr="00196521" w:rsidRDefault="006A279D" w:rsidP="006A279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lang w:val="fr-FR"/>
        </w:rPr>
      </w:pPr>
      <w:r w:rsidRPr="00196521">
        <w:rPr>
          <w:rStyle w:val="Appelnotedebasdep"/>
          <w:rFonts w:ascii="Calibri" w:hAnsi="Calibri" w:cs="Calibri"/>
          <w:sz w:val="16"/>
          <w:szCs w:val="16"/>
        </w:rPr>
        <w:footnoteRef/>
      </w:r>
      <w:r w:rsidRPr="00196521">
        <w:rPr>
          <w:rFonts w:ascii="Calibri" w:hAnsi="Calibri" w:cs="Calibri"/>
          <w:sz w:val="16"/>
          <w:szCs w:val="16"/>
        </w:rPr>
        <w:t xml:space="preserve"> </w:t>
      </w:r>
      <w:r w:rsidRPr="00196521">
        <w:rPr>
          <w:rFonts w:ascii="Calibri" w:hAnsi="Calibri" w:cs="Calibri"/>
          <w:sz w:val="16"/>
          <w:szCs w:val="16"/>
          <w:lang w:val="fr-FR"/>
        </w:rPr>
        <w:t>Pascal Perin and Didier Pouillot, “L’Europe à la peine dans l’économie digitale”. Available at:</w:t>
      </w:r>
      <w:r w:rsidRPr="00196521">
        <w:rPr>
          <w:rFonts w:ascii="Calibri" w:hAnsi="Calibri" w:cs="Calibri"/>
          <w:sz w:val="16"/>
          <w:szCs w:val="16"/>
          <w:lang w:val="fr-FR"/>
        </w:rPr>
        <w:br/>
        <w:t>http://www.orange.com/fr/content/download/30450/882715/version/2/file/L_Europe_a_la_peine_dans_l_economie_numerique_Mai_2015.pdf</w:t>
      </w:r>
    </w:p>
  </w:footnote>
  <w:footnote w:id="8">
    <w:p w:rsidR="006A279D" w:rsidRPr="00196521" w:rsidRDefault="006A279D" w:rsidP="006A279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Article translated from French by Noal Mellott (Omaha Beach, France).</w:t>
      </w:r>
    </w:p>
  </w:footnote>
  <w:footnote w:id="9">
    <w:p w:rsidR="006A279D" w:rsidRPr="00196521" w:rsidRDefault="006A279D" w:rsidP="006A279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On the history of these developments, see the Wikipedia article available at: https://en.wikipedia.org/wiki/Directorate_General_for_Communications_Networks,_Content_and_Technology </w:t>
      </w:r>
    </w:p>
  </w:footnote>
  <w:footnote w:id="10">
    <w:p w:rsidR="006A279D" w:rsidRPr="00196521" w:rsidRDefault="006A279D" w:rsidP="006A279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§2 in the communication from the Commission to the Council, the European Parliament, the European Economic and Social Committee and the Committee of the Regions, “Towards a global partnership in the information society: Follow-up of the Geneva Summit of the World Summit on Information Society (WSIS)”. Available at: http://eur-lex.europa.eu/legal-content/EN/TXT/HTML/?uri=CELEX:52004DC0111&amp;fr=EN</w:t>
      </w:r>
    </w:p>
  </w:footnote>
  <w:footnote w:id="11">
    <w:p w:rsidR="006A279D" w:rsidRPr="00196521" w:rsidRDefault="006A279D" w:rsidP="006A279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lang w:val="fr-FR"/>
        </w:rPr>
      </w:pPr>
      <w:r w:rsidRPr="00196521">
        <w:rPr>
          <w:rStyle w:val="Appelnotedebasdep"/>
          <w:rFonts w:ascii="Calibri" w:hAnsi="Calibri" w:cs="Calibri"/>
          <w:sz w:val="16"/>
          <w:szCs w:val="16"/>
        </w:rPr>
        <w:footnoteRef/>
      </w:r>
      <w:r w:rsidRPr="00196521">
        <w:rPr>
          <w:rFonts w:ascii="Calibri" w:hAnsi="Calibri" w:cs="Calibri"/>
          <w:sz w:val="16"/>
          <w:szCs w:val="16"/>
        </w:rPr>
        <w:t xml:space="preserve"> </w:t>
      </w:r>
      <w:r w:rsidRPr="00196521">
        <w:rPr>
          <w:rFonts w:ascii="Calibri" w:hAnsi="Calibri" w:cs="Calibri"/>
          <w:sz w:val="16"/>
          <w:szCs w:val="16"/>
          <w:lang w:val="fr-FR"/>
        </w:rPr>
        <w:t xml:space="preserve">Olivier Sichel, “L’échiquier numérique americain: Quelle place pour l’Europe?”, </w:t>
      </w:r>
      <w:r w:rsidRPr="00196521">
        <w:rPr>
          <w:rFonts w:ascii="Calibri" w:hAnsi="Calibri" w:cs="Calibri"/>
          <w:i/>
          <w:sz w:val="16"/>
          <w:szCs w:val="16"/>
          <w:lang w:val="fr-FR"/>
        </w:rPr>
        <w:t>Potomac Paper</w:t>
      </w:r>
      <w:r w:rsidRPr="00196521">
        <w:rPr>
          <w:rFonts w:ascii="Calibri" w:hAnsi="Calibri" w:cs="Calibri"/>
          <w:sz w:val="16"/>
          <w:szCs w:val="16"/>
          <w:lang w:val="fr-FR"/>
        </w:rPr>
        <w:t xml:space="preserve"> (Paris: IFRI), 20, September 2014. Available at:</w:t>
      </w:r>
      <w:r w:rsidRPr="00196521">
        <w:rPr>
          <w:rFonts w:ascii="Calibri" w:hAnsi="Calibri" w:cs="Calibri"/>
          <w:sz w:val="16"/>
          <w:szCs w:val="16"/>
          <w:lang w:val="fr-FR"/>
        </w:rPr>
        <w:br/>
        <w:t>https://www.ifri.org/sites/default/files/atoms/files/numeriqueamericaineurope_pp20_sichel.pdf</w:t>
      </w:r>
    </w:p>
  </w:footnote>
  <w:footnote w:id="12">
    <w:p w:rsidR="006A279D" w:rsidRPr="00196521" w:rsidRDefault="006A279D" w:rsidP="006A279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lang w:val="fr-FR"/>
        </w:rPr>
      </w:pPr>
      <w:r w:rsidRPr="00196521">
        <w:rPr>
          <w:rStyle w:val="Appelnotedebasdep"/>
          <w:rFonts w:ascii="Calibri" w:hAnsi="Calibri" w:cs="Calibri"/>
          <w:sz w:val="16"/>
          <w:szCs w:val="16"/>
        </w:rPr>
        <w:footnoteRef/>
      </w:r>
      <w:r w:rsidRPr="00196521">
        <w:rPr>
          <w:rFonts w:ascii="Calibri" w:hAnsi="Calibri" w:cs="Calibri"/>
          <w:sz w:val="16"/>
          <w:szCs w:val="16"/>
        </w:rPr>
        <w:t xml:space="preserve"> </w:t>
      </w:r>
      <w:r w:rsidRPr="00196521">
        <w:rPr>
          <w:rFonts w:ascii="Calibri" w:hAnsi="Calibri" w:cs="Calibri"/>
          <w:sz w:val="16"/>
          <w:szCs w:val="16"/>
          <w:lang w:val="fr-FR"/>
        </w:rPr>
        <w:t>http://www.worldstartupwiki.org/page/Internet_Hall_Of_Fame</w:t>
      </w:r>
    </w:p>
  </w:footnote>
  <w:footnote w:id="13">
    <w:p w:rsidR="006A279D" w:rsidRPr="00196521" w:rsidRDefault="006A279D" w:rsidP="00074EAF">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For a recent account, see “EU-US economic disputes: There is more to trade than goods and services” on: http://www.euractiv.com/section/trade-society/opinion/eu-us-economic-disputes-there-is-more-to-trade-than-goods-and-services/</w:t>
      </w:r>
    </w:p>
  </w:footnote>
  <w:footnote w:id="14">
    <w:p w:rsidR="00074EAF" w:rsidRPr="00196521" w:rsidRDefault="00074EAF" w:rsidP="00074EAF">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See the Commission’s press release, “Digital Agenda: EU defends open Internet at Dubai international telecommunications conference”. Available at: http://europa.eu/rapid/press-release_MEMO-12-922_en.htm</w:t>
      </w:r>
    </w:p>
  </w:footnote>
  <w:footnote w:id="15">
    <w:p w:rsidR="00074EAF" w:rsidRPr="00196521" w:rsidRDefault="00074EAF" w:rsidP="00074EAF">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lang w:val="fr-FR"/>
        </w:rPr>
      </w:pPr>
      <w:r w:rsidRPr="00196521">
        <w:rPr>
          <w:rStyle w:val="Appelnotedebasdep"/>
          <w:rFonts w:ascii="Calibri" w:hAnsi="Calibri" w:cs="Calibri"/>
          <w:sz w:val="16"/>
          <w:szCs w:val="16"/>
        </w:rPr>
        <w:footnoteRef/>
      </w:r>
      <w:r w:rsidRPr="00196521">
        <w:rPr>
          <w:rFonts w:ascii="Calibri" w:hAnsi="Calibri" w:cs="Calibri"/>
          <w:sz w:val="16"/>
          <w:szCs w:val="16"/>
        </w:rPr>
        <w:t xml:space="preserve"> Jody Westby, “Google's media campaign against the UN slapped down”. </w:t>
      </w:r>
      <w:r w:rsidRPr="00196521">
        <w:rPr>
          <w:rFonts w:ascii="Calibri" w:hAnsi="Calibri" w:cs="Calibri"/>
          <w:sz w:val="16"/>
          <w:szCs w:val="16"/>
          <w:lang w:val="fr-FR"/>
        </w:rPr>
        <w:t>Available at:</w:t>
      </w:r>
      <w:r w:rsidRPr="00196521">
        <w:rPr>
          <w:rFonts w:ascii="Calibri" w:hAnsi="Calibri" w:cs="Calibri"/>
          <w:sz w:val="16"/>
          <w:szCs w:val="16"/>
          <w:lang w:val="fr-FR"/>
        </w:rPr>
        <w:br/>
        <w:t>http://www.forbes.com/sites/jodywestby/2012/12/04/googles-media-campaign-against-the-un-slapped-down/#65423277868e</w:t>
      </w:r>
    </w:p>
  </w:footnote>
  <w:footnote w:id="16">
    <w:p w:rsidR="00074EAF" w:rsidRPr="00196521" w:rsidRDefault="00074EAF" w:rsidP="00074EAF">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CJEU press release n° 70/14. Available at:</w:t>
      </w:r>
      <w:r w:rsidRPr="00196521">
        <w:rPr>
          <w:rFonts w:ascii="Calibri" w:hAnsi="Calibri" w:cs="Calibri"/>
          <w:sz w:val="16"/>
          <w:szCs w:val="16"/>
        </w:rPr>
        <w:br/>
        <w:t>http://curia.europa.eu/jcms/upload/docs/application/pdf/2014-05/cp140070en.pdf</w:t>
      </w:r>
    </w:p>
  </w:footnote>
  <w:footnote w:id="17">
    <w:p w:rsidR="00074EAF" w:rsidRPr="00196521" w:rsidRDefault="00074EAF" w:rsidP="00074EAF">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CJEU press release n° 117/15. Available at:</w:t>
      </w:r>
      <w:r w:rsidRPr="00196521">
        <w:rPr>
          <w:rFonts w:ascii="Calibri" w:hAnsi="Calibri" w:cs="Calibri"/>
          <w:sz w:val="16"/>
          <w:szCs w:val="16"/>
        </w:rPr>
        <w:br/>
        <w:t xml:space="preserve"> http://curia.europa.eu/jcms/upload/docs/application/pdf/2015-10/cp150117en.pdf</w:t>
      </w:r>
    </w:p>
  </w:footnote>
  <w:footnote w:id="18">
    <w:p w:rsidR="00074EAF" w:rsidRPr="00196521" w:rsidRDefault="00074EAF" w:rsidP="00074EAF">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http://ec.europa.eu/competition/sectors/ICT/microsoft/</w:t>
      </w:r>
    </w:p>
  </w:footnote>
  <w:footnote w:id="19">
    <w:p w:rsidR="00074EAF" w:rsidRPr="00196521" w:rsidRDefault="00074EAF" w:rsidP="00074EAF">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http://www.lesechos.fr/idees-debats/cercle/cercle-154746-la-commission-europeenne-vs-google-pourquoi-la-regulation-des-donnees-est-elle-le-veritable-enjeu-strategique-1203922.php</w:t>
      </w:r>
    </w:p>
  </w:footnote>
  <w:footnote w:id="20">
    <w:p w:rsidR="00074EAF" w:rsidRPr="00196521" w:rsidRDefault="00074EAF" w:rsidP="00074EAF">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196521">
        <w:rPr>
          <w:rStyle w:val="Appelnotedebasdep"/>
          <w:rFonts w:ascii="Calibri" w:hAnsi="Calibri" w:cs="Calibri"/>
          <w:sz w:val="16"/>
          <w:szCs w:val="16"/>
        </w:rPr>
        <w:footnoteRef/>
      </w:r>
      <w:r w:rsidRPr="00196521">
        <w:rPr>
          <w:rFonts w:ascii="Calibri" w:hAnsi="Calibri" w:cs="Calibri"/>
          <w:sz w:val="16"/>
          <w:szCs w:val="16"/>
        </w:rPr>
        <w:t xml:space="preserve"> http://www.brookings.edu/blogs/techtank/posts/2016/03/23-zero-rating-net-neutrality-mcclellan-west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16" w:rsidRPr="002A7106" w:rsidRDefault="005E1F16">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16" w:rsidRPr="002A7106" w:rsidRDefault="005E1F16">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46" w:rsidRDefault="00FB264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F16"/>
    <w:rsid w:val="00074EAF"/>
    <w:rsid w:val="000D6179"/>
    <w:rsid w:val="00156DA4"/>
    <w:rsid w:val="00173995"/>
    <w:rsid w:val="00196521"/>
    <w:rsid w:val="001D3F9A"/>
    <w:rsid w:val="002A7106"/>
    <w:rsid w:val="003211A2"/>
    <w:rsid w:val="00326425"/>
    <w:rsid w:val="00385B81"/>
    <w:rsid w:val="004841CC"/>
    <w:rsid w:val="004B4650"/>
    <w:rsid w:val="005E1F16"/>
    <w:rsid w:val="006A279D"/>
    <w:rsid w:val="00A235BD"/>
    <w:rsid w:val="00B977EB"/>
    <w:rsid w:val="00C27047"/>
    <w:rsid w:val="00D450D9"/>
    <w:rsid w:val="00E130F5"/>
    <w:rsid w:val="00E63215"/>
    <w:rsid w:val="00FB26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pPr>
      <w:widowControl w:val="0"/>
    </w:pPr>
    <w:rPr>
      <w:b/>
      <w:sz w:val="36"/>
      <w:u w:val="single"/>
    </w:rPr>
  </w:style>
  <w:style w:type="paragraph" w:customStyle="1" w:styleId="ArticleTit2">
    <w:name w:val="ArticleTit2"/>
    <w:basedOn w:val="Normal"/>
    <w:pPr>
      <w:widowControl w:val="0"/>
    </w:pPr>
    <w:rPr>
      <w:b/>
      <w:sz w:val="29"/>
    </w:rPr>
  </w:style>
  <w:style w:type="paragraph" w:customStyle="1" w:styleId="ArticleTit3">
    <w:name w:val="ArticleTit3"/>
    <w:basedOn w:val="Normal"/>
    <w:pPr>
      <w:widowControl w:val="0"/>
    </w:pPr>
    <w:rPr>
      <w:b/>
      <w:i/>
    </w:rPr>
  </w:style>
  <w:style w:type="paragraph" w:customStyle="1" w:styleId="ArticleTit4">
    <w:name w:val="ArticleTit4"/>
    <w:basedOn w:val="Normal"/>
    <w:pPr>
      <w:widowControl w:val="0"/>
    </w:pPr>
    <w:rPr>
      <w:i/>
    </w:rPr>
  </w:style>
  <w:style w:type="paragraph" w:customStyle="1" w:styleId="ArticleTit5">
    <w:name w:val="ArticleTit5"/>
    <w:basedOn w:val="Normal"/>
    <w:pPr>
      <w:widowControl w:val="0"/>
    </w:pPr>
    <w:rPr>
      <w:smallCaps/>
    </w:r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Redline">
    <w:name w:val="Redline"/>
    <w:rPr>
      <w:u w:val="single"/>
    </w:rPr>
  </w:style>
  <w:style w:type="paragraph" w:customStyle="1" w:styleId="Heading0">
    <w:name w:val="Heading0"/>
    <w:basedOn w:val="Normal"/>
    <w:pPr>
      <w:widowControl w:val="0"/>
      <w:spacing w:after="20"/>
      <w:jc w:val="center"/>
    </w:pPr>
    <w:rPr>
      <w:b/>
      <w:sz w:val="36"/>
    </w:rPr>
  </w:style>
  <w:style w:type="character" w:customStyle="1" w:styleId="LineTight">
    <w:name w:val="LineTight"/>
    <w:rPr>
      <w:rFonts w:cs="Times New Roman"/>
    </w:rPr>
  </w:style>
  <w:style w:type="paragraph" w:customStyle="1" w:styleId="DashX">
    <w:name w:val="DashX"/>
    <w:basedOn w:val="Normal"/>
    <w:pPr>
      <w:widowControl w:val="0"/>
      <w:tabs>
        <w:tab w:val="left" w:pos="0"/>
        <w:tab w:val="left" w:pos="454"/>
        <w:tab w:val="left" w:pos="1020"/>
        <w:tab w:val="left" w:pos="1700"/>
        <w:tab w:val="left" w:pos="3118"/>
        <w:tab w:val="left" w:pos="4592"/>
        <w:tab w:val="left" w:pos="6010"/>
        <w:tab w:val="left" w:pos="7427"/>
        <w:tab w:val="left" w:pos="7937"/>
      </w:tabs>
      <w:spacing w:after="20"/>
    </w:pPr>
  </w:style>
  <w:style w:type="character" w:customStyle="1" w:styleId="LineBiblio">
    <w:name w:val="LineBiblio"/>
    <w:rPr>
      <w:rFonts w:cs="Times New Roman"/>
    </w:rPr>
  </w:style>
  <w:style w:type="character" w:customStyle="1" w:styleId="XOut">
    <w:name w:val="XOut"/>
    <w:rPr>
      <w:strike/>
    </w:rPr>
  </w:style>
  <w:style w:type="character" w:customStyle="1" w:styleId="SYSHYPERTEXT">
    <w:name w:val="SYS_HYPERTEXT"/>
    <w:rPr>
      <w:color w:val="0000FF"/>
      <w:u w:val="single"/>
    </w:rPr>
  </w:style>
  <w:style w:type="paragraph" w:styleId="En-tte">
    <w:name w:val="header"/>
    <w:basedOn w:val="Normal"/>
    <w:link w:val="En-tteCar"/>
    <w:uiPriority w:val="99"/>
    <w:unhideWhenUsed/>
    <w:rsid w:val="004841CC"/>
    <w:pPr>
      <w:tabs>
        <w:tab w:val="center" w:pos="4536"/>
        <w:tab w:val="right" w:pos="9072"/>
      </w:tabs>
    </w:pPr>
  </w:style>
  <w:style w:type="character" w:customStyle="1" w:styleId="En-tteCar">
    <w:name w:val="En-tête Car"/>
    <w:link w:val="En-tte"/>
    <w:uiPriority w:val="99"/>
    <w:rsid w:val="004841CC"/>
    <w:rPr>
      <w:sz w:val="24"/>
      <w:lang w:val="en-US"/>
    </w:rPr>
  </w:style>
  <w:style w:type="paragraph" w:styleId="Pieddepage">
    <w:name w:val="footer"/>
    <w:basedOn w:val="Normal"/>
    <w:link w:val="PieddepageCar"/>
    <w:uiPriority w:val="99"/>
    <w:unhideWhenUsed/>
    <w:rsid w:val="004841CC"/>
    <w:pPr>
      <w:tabs>
        <w:tab w:val="center" w:pos="4536"/>
        <w:tab w:val="right" w:pos="9072"/>
      </w:tabs>
    </w:pPr>
  </w:style>
  <w:style w:type="character" w:customStyle="1" w:styleId="PieddepageCar">
    <w:name w:val="Pied de page Car"/>
    <w:link w:val="Pieddepage"/>
    <w:uiPriority w:val="99"/>
    <w:rsid w:val="004841CC"/>
    <w:rPr>
      <w:sz w:val="24"/>
      <w:lang w:val="en-US"/>
    </w:rPr>
  </w:style>
  <w:style w:type="paragraph" w:styleId="Notedebasdepage">
    <w:name w:val="footnote text"/>
    <w:basedOn w:val="Normal"/>
    <w:link w:val="NotedebasdepageCar"/>
    <w:uiPriority w:val="99"/>
    <w:semiHidden/>
    <w:unhideWhenUsed/>
    <w:rsid w:val="006A279D"/>
    <w:rPr>
      <w:sz w:val="20"/>
    </w:rPr>
  </w:style>
  <w:style w:type="character" w:customStyle="1" w:styleId="NotedebasdepageCar">
    <w:name w:val="Note de bas de page Car"/>
    <w:link w:val="Notedebasdepage"/>
    <w:uiPriority w:val="99"/>
    <w:semiHidden/>
    <w:rsid w:val="006A279D"/>
    <w:rPr>
      <w:lang w:val="en-US"/>
    </w:rPr>
  </w:style>
  <w:style w:type="character" w:styleId="Appelnotedebasdep">
    <w:name w:val="footnote reference"/>
    <w:uiPriority w:val="99"/>
    <w:semiHidden/>
    <w:unhideWhenUsed/>
    <w:rsid w:val="006A27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03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307EF-95BC-4632-80E3-DACA655F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2836</Words>
  <Characters>14976</Characters>
  <Application>Microsoft Office Word</Application>
  <DocSecurity>0</DocSecurity>
  <Lines>272</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Michaux</cp:lastModifiedBy>
  <cp:revision>13</cp:revision>
  <dcterms:created xsi:type="dcterms:W3CDTF">2015-01-28T10:30:00Z</dcterms:created>
  <dcterms:modified xsi:type="dcterms:W3CDTF">2017-01-20T09:11:00Z</dcterms:modified>
</cp:coreProperties>
</file>