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3A" w:rsidRPr="004728A9" w:rsidRDefault="00FD233A">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rPr>
      </w:pPr>
      <w:r w:rsidRPr="004728A9">
        <w:rPr>
          <w:rFonts w:ascii="Calibri" w:hAnsi="Calibri" w:cs="Calibri"/>
          <w:sz w:val="33"/>
        </w:rPr>
        <w:t xml:space="preserve">The European digital union: </w:t>
      </w:r>
      <w:r w:rsidRPr="004728A9">
        <w:rPr>
          <w:rFonts w:ascii="Calibri" w:hAnsi="Calibri" w:cs="Calibri"/>
          <w:sz w:val="33"/>
        </w:rPr>
        <w:br/>
        <w:t xml:space="preserve">The potential impact of the EU eIDAS regulation </w:t>
      </w:r>
      <w:r w:rsidRPr="004728A9">
        <w:rPr>
          <w:rFonts w:ascii="Calibri" w:hAnsi="Calibri" w:cs="Calibri"/>
          <w:sz w:val="33"/>
        </w:rPr>
        <w:br/>
        <w:t>on Euro-African transactions</w:t>
      </w:r>
    </w:p>
    <w:p w:rsidR="00FD233A" w:rsidRPr="004728A9" w:rsidRDefault="00FD233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FD233A" w:rsidRPr="004728A9" w:rsidRDefault="00FD233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4728A9">
        <w:rPr>
          <w:rFonts w:ascii="Calibri" w:hAnsi="Calibri" w:cs="Calibri"/>
          <w:b/>
          <w:sz w:val="22"/>
        </w:rPr>
        <w:t>Alain Ducass</w:t>
      </w:r>
      <w:r w:rsidRPr="004728A9">
        <w:rPr>
          <w:rFonts w:ascii="Calibri" w:hAnsi="Calibri" w:cs="Calibri"/>
          <w:sz w:val="22"/>
        </w:rPr>
        <w:t>, international expert on the digital transformation of Africa</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4728A9">
        <w:rPr>
          <w:rStyle w:val="LineTight"/>
          <w:rFonts w:ascii="Calibri" w:hAnsi="Calibri" w:cs="Calibri"/>
          <w:b/>
          <w:sz w:val="22"/>
        </w:rPr>
        <w:t>For</w:t>
      </w:r>
      <w:r w:rsidRPr="004728A9">
        <w:rPr>
          <w:rStyle w:val="LineTight"/>
          <w:rFonts w:ascii="Calibri" w:hAnsi="Calibri" w:cs="Calibri"/>
          <w:sz w:val="22"/>
        </w:rPr>
        <w:t xml:space="preserve">: In Jean-Pierre Dardayrol (ed.) </w:t>
      </w:r>
      <w:r w:rsidRPr="004728A9">
        <w:rPr>
          <w:rStyle w:val="LineTight"/>
          <w:rFonts w:ascii="Calibri" w:hAnsi="Calibri" w:cs="Calibri"/>
          <w:i/>
          <w:sz w:val="22"/>
        </w:rPr>
        <w:t>The European digital union</w:t>
      </w:r>
      <w:r w:rsidRPr="004728A9">
        <w:rPr>
          <w:rStyle w:val="LineTight"/>
          <w:rFonts w:ascii="Calibri" w:hAnsi="Calibri" w:cs="Calibri"/>
          <w:sz w:val="22"/>
        </w:rPr>
        <w:t xml:space="preserve"> [special issue of </w:t>
      </w:r>
      <w:r w:rsidRPr="004728A9">
        <w:rPr>
          <w:rStyle w:val="LineTight"/>
          <w:rFonts w:ascii="Calibri" w:hAnsi="Calibri" w:cs="Calibri"/>
          <w:i/>
          <w:sz w:val="22"/>
        </w:rPr>
        <w:t>Réalités Industrielles</w:t>
      </w:r>
      <w:r w:rsidRPr="004728A9">
        <w:rPr>
          <w:rStyle w:val="LineTight"/>
          <w:rFonts w:ascii="Calibri" w:hAnsi="Calibri" w:cs="Calibri"/>
          <w:sz w:val="22"/>
        </w:rPr>
        <w:t xml:space="preserve">, August 2016] </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595730"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4728A9">
        <w:rPr>
          <w:rStyle w:val="LineTight"/>
          <w:rFonts w:ascii="Calibri" w:hAnsi="Calibri" w:cs="Calibri"/>
          <w:b/>
          <w:i/>
          <w:sz w:val="22"/>
        </w:rPr>
        <w:t>Summary</w:t>
      </w:r>
      <w:r w:rsidRPr="004728A9">
        <w:rPr>
          <w:rStyle w:val="LineTight"/>
          <w:rFonts w:ascii="Calibri" w:hAnsi="Calibri" w:cs="Calibri"/>
          <w:sz w:val="22"/>
        </w:rPr>
        <w:t xml:space="preserve">: </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4728A9">
        <w:rPr>
          <w:rStyle w:val="LineTight"/>
          <w:rFonts w:ascii="Calibri" w:hAnsi="Calibri" w:cs="Calibri"/>
          <w:sz w:val="22"/>
        </w:rPr>
        <w:t>Having scarcely received attention in France, the EU Regulation of 23 July 2014 on “electronic identification and trust services for electronic transactions in the Internal market” makes a big step toward a Digital Single Market in Europe, in particular toward an electronic administration. Although this “eIDAS regulation” mainly concerns exchanges between citizens and EU member states, it might also help develop transactions between Europe and Africa.</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Since many experts have discussed the impact on domestic commerce of the European Union's eIDAS regulation,</w:t>
      </w:r>
      <w:r w:rsidR="005C609B" w:rsidRPr="004728A9">
        <w:rPr>
          <w:rStyle w:val="Appelnotedebasdep"/>
          <w:rFonts w:ascii="Calibri" w:hAnsi="Calibri" w:cs="Calibri"/>
          <w:sz w:val="22"/>
        </w:rPr>
        <w:footnoteReference w:id="1"/>
      </w:r>
      <w:r w:rsidRPr="004728A9">
        <w:rPr>
          <w:rFonts w:ascii="Calibri" w:hAnsi="Calibri" w:cs="Calibri"/>
          <w:sz w:val="22"/>
        </w:rPr>
        <w:t xml:space="preserve"> let us shift focus to a lesser known aspect on electronic identification and signatures, namely: the potential impact on trade between the EU and Africa.</w:t>
      </w:r>
      <w:r w:rsidR="005C609B" w:rsidRPr="004728A9">
        <w:rPr>
          <w:rStyle w:val="Appelnotedebasdep"/>
          <w:rFonts w:ascii="Calibri" w:hAnsi="Calibri" w:cs="Calibri"/>
          <w:sz w:val="22"/>
        </w:rPr>
        <w:footnoteReference w:id="2"/>
      </w:r>
      <w:r w:rsidRPr="004728A9">
        <w:rPr>
          <w:rFonts w:ascii="Calibri" w:hAnsi="Calibri" w:cs="Calibri"/>
          <w:sz w:val="22"/>
        </w:rPr>
        <w:t xml:space="preserve"> To do this, let us first take a look at the chronology of events that suggest an opening of the “European digital union” toward the economic reality of countries outside the EU, in particular in Africa, which is the focus of this article:</w:t>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26 January 2010, ADETEF (now Expertise France) presented to the Union for the Mediterranean a selection, drawn up by conferring with parties in countries from the South, of ten decisive digital programs decisive for the Mediterranean area.</w:t>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4 December 2013, during a meeting of African heads of state in Paris, the president of France set the objective of doubling France’s economic transactions (both exports and imports) with Africa.</w:t>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15 July 2014, at Bercy in Paris, the Fondation Franco-Africaine pour la Croissance was officially launched with four priorities, one of them the digital economy. This foundation adopted the name AfricaFrance with the motto “For shared growth”.</w:t>
      </w:r>
      <w:r w:rsidR="005C609B" w:rsidRPr="004728A9">
        <w:rPr>
          <w:rStyle w:val="Appelnotedebasdep"/>
          <w:rFonts w:ascii="Calibri" w:hAnsi="Calibri" w:cs="Calibri"/>
          <w:sz w:val="22"/>
        </w:rPr>
        <w:footnoteReference w:id="3"/>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23 July 2014, the EU Parliament and Council adopted the eIDAS regulation with the stated purpose of ”</w:t>
      </w:r>
      <w:r w:rsidRPr="004728A9">
        <w:rPr>
          <w:rFonts w:ascii="Calibri" w:hAnsi="Calibri" w:cs="Calibri"/>
          <w:i/>
          <w:sz w:val="22"/>
        </w:rPr>
        <w:t>building trust in the on-line environment, a key to economic and social development</w:t>
      </w:r>
      <w:r w:rsidRPr="004728A9">
        <w:rPr>
          <w:rFonts w:ascii="Calibri" w:hAnsi="Calibri" w:cs="Calibri"/>
          <w:sz w:val="22"/>
        </w:rPr>
        <w:t xml:space="preserve"> [… and …] </w:t>
      </w:r>
      <w:r w:rsidRPr="004728A9">
        <w:rPr>
          <w:rFonts w:ascii="Calibri" w:hAnsi="Calibri" w:cs="Calibri"/>
          <w:i/>
          <w:sz w:val="22"/>
        </w:rPr>
        <w:t>providing a common foundation for secure electronic interaction between citizens, businesses and public authorities</w:t>
      </w:r>
      <w:r w:rsidRPr="004728A9">
        <w:rPr>
          <w:rFonts w:ascii="Calibri" w:hAnsi="Calibri" w:cs="Calibri"/>
          <w:sz w:val="22"/>
        </w:rPr>
        <w:t>”.</w:t>
      </w:r>
      <w:r w:rsidR="005C609B" w:rsidRPr="004728A9">
        <w:rPr>
          <w:rStyle w:val="Appelnotedebasdep"/>
          <w:rFonts w:ascii="Calibri" w:hAnsi="Calibri" w:cs="Calibri"/>
          <w:sz w:val="22"/>
        </w:rPr>
        <w:footnoteReference w:id="4"/>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lastRenderedPageBreak/>
        <w:t>● In a 2014, France ranked first in Europe and fourth in the world on the United Nation’s e-government development index (EGDI).</w:t>
      </w:r>
      <w:r w:rsidR="005C609B" w:rsidRPr="004728A9">
        <w:rPr>
          <w:rStyle w:val="Appelnotedebasdep"/>
          <w:rFonts w:ascii="Calibri" w:hAnsi="Calibri" w:cs="Calibri"/>
          <w:sz w:val="22"/>
        </w:rPr>
        <w:footnoteReference w:id="5"/>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30 September 2014, the ministers of the Union for the Mediterranean, meeting in Brussels to discuss the digital economy, set the interoperability of electronic trust services as a priority.</w:t>
      </w:r>
      <w:r w:rsidR="005C609B" w:rsidRPr="004728A9">
        <w:rPr>
          <w:rStyle w:val="Appelnotedebasdep"/>
          <w:rFonts w:ascii="Calibri" w:hAnsi="Calibri" w:cs="Calibri"/>
          <w:sz w:val="22"/>
        </w:rPr>
        <w:footnoteReference w:id="6"/>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18 November 2015, the EU modified its Neighborhood Policy, clearly declaring that one of its tools was digital technology.</w:t>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4 February 2016, at the French Ministry of Foreign Affairs, Alain Juppé, Jean-Louis Guigou and their African colleagues reviewed ten years of the activities conducted by the Institut de Prospective Économique du Monde Méditerranéen (IPEMED).</w:t>
      </w:r>
      <w:r w:rsidR="005C609B" w:rsidRPr="004728A9">
        <w:rPr>
          <w:rStyle w:val="Appelnotedebasdep"/>
          <w:rFonts w:ascii="Calibri" w:hAnsi="Calibri" w:cs="Calibri"/>
          <w:sz w:val="22"/>
        </w:rPr>
        <w:footnoteReference w:id="7"/>
      </w:r>
      <w:r w:rsidRPr="004728A9">
        <w:rPr>
          <w:rFonts w:ascii="Calibri" w:hAnsi="Calibri" w:cs="Calibri"/>
          <w:sz w:val="22"/>
        </w:rPr>
        <w:t xml:space="preserve"> They launched the predecessor of the Foundation Africa-Mediterranean-Europe (AME) with the strategic objective of forming a network of a hundred researchers from these three regions.</w:t>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18 February 2016, Thierry Breton, CEO of Atos, announced in Dakar the creation there of a thousand jobs in the digital economy. He declared that his firm recruits ten thousand persons per year, normally on the East-West axis but, now, on the North-South axis too.</w:t>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21-22 April 2016, Vienna, in response to a formal request by the United Nations Commission on International Trade Law (UNCITRAL), hosted a conference on legal questions about managing electronic identification and trust services.</w:t>
      </w:r>
      <w:r w:rsidR="005C609B" w:rsidRPr="004728A9">
        <w:rPr>
          <w:rStyle w:val="Appelnotedebasdep"/>
          <w:rFonts w:ascii="Calibri" w:hAnsi="Calibri" w:cs="Calibri"/>
          <w:sz w:val="22"/>
        </w:rPr>
        <w:footnoteReference w:id="8"/>
      </w:r>
    </w:p>
    <w:p w:rsidR="00FD233A" w:rsidRPr="004728A9" w:rsidRDefault="00FD233A" w:rsidP="005C609B">
      <w:pPr>
        <w:pStyle w:val="DashX"/>
        <w:widowControl/>
        <w:ind w:left="454"/>
        <w:jc w:val="both"/>
        <w:rPr>
          <w:rFonts w:ascii="Calibri" w:hAnsi="Calibri" w:cs="Calibri"/>
          <w:sz w:val="22"/>
        </w:rPr>
      </w:pPr>
      <w:r w:rsidRPr="004728A9">
        <w:rPr>
          <w:rFonts w:ascii="Calibri" w:hAnsi="Calibri" w:cs="Calibri"/>
          <w:sz w:val="22"/>
        </w:rPr>
        <w:t>● On 1 July 2016, the section on trust services in the eIDAS regulation took effect in the EU (replacing Directive n° 1999/93/CE on electronic signatures). It sets up a standard framework for digital identification and trust services in electronic transactions with public administrations.</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 xml:space="preserve">Given the weak signals coming from these events, and passing over the oft discussed impact of eIDAS on the EU and France, let us examine the international ramifications. These can be briefly formulated as five points: </w:t>
      </w:r>
      <w:r w:rsidRPr="004728A9">
        <w:rPr>
          <w:rFonts w:ascii="Calibri" w:hAnsi="Calibri" w:cs="Calibri"/>
          <w:i/>
          <w:sz w:val="22"/>
        </w:rPr>
        <w:t>a)</w:t>
      </w:r>
      <w:r w:rsidRPr="004728A9">
        <w:rPr>
          <w:rFonts w:ascii="Calibri" w:hAnsi="Calibri" w:cs="Calibri"/>
          <w:sz w:val="22"/>
        </w:rPr>
        <w:t xml:space="preserve"> The World Bank</w:t>
      </w:r>
      <w:r w:rsidRPr="004728A9">
        <w:rPr>
          <w:rFonts w:ascii="Calibri" w:hAnsi="Calibri" w:cs="Calibri"/>
          <w:vanish/>
          <w:sz w:val="22"/>
        </w:rPr>
        <w:t xml:space="preserve"> is promoting </w:t>
      </w:r>
      <w:r w:rsidRPr="004728A9">
        <w:rPr>
          <w:rFonts w:ascii="Calibri" w:hAnsi="Calibri" w:cs="Calibri"/>
          <w:sz w:val="22"/>
        </w:rPr>
        <w:t xml:space="preserve">digital identification in Africa; </w:t>
      </w:r>
      <w:r w:rsidRPr="004728A9">
        <w:rPr>
          <w:rFonts w:ascii="Calibri" w:hAnsi="Calibri" w:cs="Calibri"/>
          <w:i/>
          <w:sz w:val="22"/>
        </w:rPr>
        <w:t>b)</w:t>
      </w:r>
      <w:r w:rsidRPr="004728A9">
        <w:rPr>
          <w:rFonts w:ascii="Calibri" w:hAnsi="Calibri" w:cs="Calibri"/>
          <w:sz w:val="22"/>
        </w:rPr>
        <w:t xml:space="preserve"> The EU is backing electronic signatures in the Mediterranean; </w:t>
      </w:r>
      <w:r w:rsidRPr="004728A9">
        <w:rPr>
          <w:rFonts w:ascii="Calibri" w:hAnsi="Calibri" w:cs="Calibri"/>
          <w:i/>
          <w:sz w:val="22"/>
        </w:rPr>
        <w:t>c)</w:t>
      </w:r>
      <w:r w:rsidRPr="004728A9">
        <w:rPr>
          <w:rFonts w:ascii="Calibri" w:hAnsi="Calibri" w:cs="Calibri"/>
          <w:sz w:val="22"/>
        </w:rPr>
        <w:t xml:space="preserve"> Africa is preparing major innovations; </w:t>
      </w:r>
      <w:r w:rsidRPr="004728A9">
        <w:rPr>
          <w:rFonts w:ascii="Calibri" w:hAnsi="Calibri" w:cs="Calibri"/>
          <w:i/>
          <w:sz w:val="22"/>
        </w:rPr>
        <w:t>d)</w:t>
      </w:r>
      <w:r w:rsidRPr="004728A9">
        <w:rPr>
          <w:rFonts w:ascii="Calibri" w:hAnsi="Calibri" w:cs="Calibri"/>
          <w:sz w:val="22"/>
        </w:rPr>
        <w:t xml:space="preserve"> The eIDAS regulation contains an article on “international aspects”; and </w:t>
      </w:r>
      <w:r w:rsidRPr="004728A9">
        <w:rPr>
          <w:rFonts w:ascii="Calibri" w:hAnsi="Calibri" w:cs="Calibri"/>
          <w:i/>
          <w:sz w:val="22"/>
        </w:rPr>
        <w:t>e)</w:t>
      </w:r>
      <w:r w:rsidRPr="004728A9">
        <w:rPr>
          <w:rFonts w:ascii="Calibri" w:hAnsi="Calibri" w:cs="Calibri"/>
          <w:sz w:val="22"/>
        </w:rPr>
        <w:t xml:space="preserve"> European and French businesses have adopted a wait-and-see attitude.</w:t>
      </w:r>
    </w:p>
    <w:p w:rsidR="00FD233A" w:rsidRPr="004728A9" w:rsidRDefault="00FD233A" w:rsidP="005C609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7E50D3" w:rsidRPr="004728A9" w:rsidRDefault="007E50D3" w:rsidP="005C609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0" w:name="Generated_Bookmark1"/>
      <w:bookmarkEnd w:id="0"/>
      <w:r w:rsidRPr="004728A9">
        <w:rPr>
          <w:rFonts w:ascii="Calibri" w:hAnsi="Calibri" w:cs="Calibri"/>
          <w:sz w:val="33"/>
          <w:u w:val="single"/>
        </w:rPr>
        <w:t>The World Bank’s promotion of digital identification in Africa</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 xml:space="preserve">Thanks to French funding, the World Bank published in 2014 the </w:t>
      </w:r>
      <w:r w:rsidRPr="004728A9">
        <w:rPr>
          <w:rFonts w:ascii="Calibri" w:hAnsi="Calibri" w:cs="Calibri"/>
          <w:i/>
          <w:sz w:val="22"/>
        </w:rPr>
        <w:t>Digital Identity Toolkit</w:t>
      </w:r>
      <w:r w:rsidRPr="004728A9">
        <w:rPr>
          <w:rFonts w:ascii="Calibri" w:hAnsi="Calibri" w:cs="Calibri"/>
          <w:sz w:val="22"/>
        </w:rPr>
        <w:t>.</w:t>
      </w:r>
      <w:r w:rsidR="005C609B" w:rsidRPr="004728A9">
        <w:rPr>
          <w:rStyle w:val="Appelnotedebasdep"/>
          <w:rFonts w:ascii="Calibri" w:hAnsi="Calibri" w:cs="Calibri"/>
          <w:sz w:val="22"/>
        </w:rPr>
        <w:footnoteReference w:id="9"/>
      </w:r>
      <w:r w:rsidRPr="004728A9">
        <w:rPr>
          <w:rFonts w:ascii="Calibri" w:hAnsi="Calibri" w:cs="Calibri"/>
          <w:sz w:val="22"/>
        </w:rPr>
        <w:t xml:space="preserve"> This booklet recalls that developing and emerging countries are voicing more and stronger demands related to the identification of persons and goods. Besides being secure, digital identification — a key to transactions among people and to interactions between people and machines — has to be “</w:t>
      </w:r>
      <w:r w:rsidRPr="004728A9">
        <w:rPr>
          <w:rFonts w:ascii="Calibri" w:hAnsi="Calibri" w:cs="Calibri"/>
          <w:i/>
          <w:sz w:val="22"/>
        </w:rPr>
        <w:t>mobile, transactional, interoperable, portable and social</w:t>
      </w:r>
      <w:r w:rsidRPr="004728A9">
        <w:rPr>
          <w:rFonts w:ascii="Calibri" w:hAnsi="Calibri" w:cs="Calibri"/>
          <w:sz w:val="22"/>
        </w:rPr>
        <w:t>”. One of its principal applications is to build “</w:t>
      </w:r>
      <w:r w:rsidRPr="004728A9">
        <w:rPr>
          <w:rFonts w:ascii="Calibri" w:hAnsi="Calibri" w:cs="Calibri"/>
          <w:i/>
          <w:sz w:val="22"/>
        </w:rPr>
        <w:t>secure, robust and reliable digital identification systems capable of establishing unique, official identities for individuals to enable e-government and e-commerce</w:t>
      </w:r>
      <w:r w:rsidRPr="004728A9">
        <w:rPr>
          <w:rFonts w:ascii="Calibri" w:hAnsi="Calibri" w:cs="Calibri"/>
          <w:sz w:val="22"/>
        </w:rPr>
        <w:t>”. Let us bear in mind that national identification programs assign one identity per person for his/her whole life and for all needs.</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Since then, the World Bank has launched a program for a “</w:t>
      </w:r>
      <w:r w:rsidRPr="004728A9">
        <w:rPr>
          <w:rFonts w:ascii="Calibri" w:hAnsi="Calibri" w:cs="Calibri"/>
          <w:i/>
          <w:sz w:val="22"/>
        </w:rPr>
        <w:t>global identification for development</w:t>
      </w:r>
      <w:r w:rsidRPr="004728A9">
        <w:rPr>
          <w:rFonts w:ascii="Calibri" w:hAnsi="Calibri" w:cs="Calibri"/>
          <w:sz w:val="22"/>
        </w:rPr>
        <w:t>” (ID4D). This program sponsored various events in June 2015 and May 2016 in Kigali,</w:t>
      </w:r>
      <w:r w:rsidR="005C609B" w:rsidRPr="004728A9">
        <w:rPr>
          <w:rStyle w:val="Appelnotedebasdep"/>
          <w:rFonts w:ascii="Calibri" w:hAnsi="Calibri" w:cs="Calibri"/>
          <w:sz w:val="22"/>
        </w:rPr>
        <w:footnoteReference w:id="10"/>
      </w:r>
      <w:r w:rsidRPr="004728A9">
        <w:rPr>
          <w:rFonts w:ascii="Calibri" w:hAnsi="Calibri" w:cs="Calibri"/>
          <w:sz w:val="22"/>
        </w:rPr>
        <w:t xml:space="preserve"> and is still being amply promoted by the bank.</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Unfortunately, the World Bank’s toolkit was published well before the EU adopted eIDAS. Despite French funding, the bank did not discuss eIDAS in the French edition of the toolkit, which simply touts American norms.</w:t>
      </w:r>
    </w:p>
    <w:p w:rsidR="00FD233A" w:rsidRPr="004728A9" w:rsidRDefault="00FD233A" w:rsidP="005C609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1" w:name="Generated_Bookmark2"/>
      <w:bookmarkEnd w:id="1"/>
      <w:r w:rsidRPr="004728A9">
        <w:rPr>
          <w:rFonts w:ascii="Calibri" w:hAnsi="Calibri" w:cs="Calibri"/>
          <w:sz w:val="33"/>
          <w:u w:val="single"/>
        </w:rPr>
        <w:t>The EU’s backing of e-signature programs in the Mediterranean</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The EU has shown interest in promoting electronic signature technology in the larger Mediterranean area. A notable example is its twining program (with a section devoted to electronic signatures) with the Jordanian regulatory authority of telecommunications. Despite experts’ recommendations, this program has been limited to drafting regulatory documents and setting up work teams but without taking into account whether or not a market exists and without paying attention to international aspects. The persons trained in Amman have, therefore, probably never handled any actual cases involving electronic signatures. By the time a market requiring electronic signatures emerges, the team will very likely have been dissolved.</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The EU has continued working on this topic by organizing a series of seminars in Barcelona. This work came to an end on 23 January 2014 after the adoption of nine recommendations on e-signatures for transactions with countries to the south of the Mediterranean.</w:t>
      </w:r>
      <w:r w:rsidR="005C609B" w:rsidRPr="004728A9">
        <w:rPr>
          <w:rStyle w:val="Appelnotedebasdep"/>
          <w:rFonts w:ascii="Calibri" w:hAnsi="Calibri" w:cs="Calibri"/>
          <w:sz w:val="22"/>
        </w:rPr>
        <w:footnoteReference w:id="11"/>
      </w:r>
      <w:r w:rsidRPr="004728A9">
        <w:rPr>
          <w:rFonts w:ascii="Calibri" w:hAnsi="Calibri" w:cs="Calibri"/>
          <w:sz w:val="22"/>
        </w:rPr>
        <w:t xml:space="preserve"> This helped prepare ministers from countries belonging to the Union for the Mediterranean for their meeting in Brussels on 30 September of the same year. According to the declaration made at this meeting, it was necessary “</w:t>
      </w:r>
      <w:r w:rsidRPr="004728A9">
        <w:rPr>
          <w:rFonts w:ascii="Calibri" w:hAnsi="Calibri" w:cs="Calibri"/>
          <w:i/>
          <w:sz w:val="22"/>
        </w:rPr>
        <w:t>to prioritize efforts to develop an interoperability framework between the EU and southern Mediterranean countries and between themselves. The first priority in this development shall be electronic trust services including e-signature, using elements of the EU eIDAS Regulation (Regulation 910/2014 on electronic identification and trust services for electronic transactions) as the common reference. This would also facilitate the realization of crossborder markets for goods and services, provide a higher degree of protection against fraud, a greater climate of trust between economic operators and lower costs of service providers</w:t>
      </w:r>
      <w:r w:rsidRPr="004728A9">
        <w:rPr>
          <w:rFonts w:ascii="Calibri" w:hAnsi="Calibri" w:cs="Calibri"/>
          <w:sz w:val="22"/>
        </w:rPr>
        <w:t>”.</w:t>
      </w:r>
      <w:r w:rsidR="00591733" w:rsidRPr="004728A9">
        <w:rPr>
          <w:rStyle w:val="Appelnotedebasdep"/>
          <w:rFonts w:ascii="Calibri" w:hAnsi="Calibri" w:cs="Calibri"/>
          <w:sz w:val="22"/>
        </w:rPr>
        <w:footnoteReference w:id="12"/>
      </w:r>
      <w:r w:rsidRPr="004728A9">
        <w:rPr>
          <w:rFonts w:ascii="Calibri" w:hAnsi="Calibri" w:cs="Calibri"/>
          <w:sz w:val="22"/>
        </w:rPr>
        <w:t xml:space="preserve"> Consequently, the work group on the digital economy at the Union for the Mediterranean adopted (on 19-20 April 2016 in Barcelona) a program with eight axes, including the interoperability of trust services.</w:t>
      </w:r>
      <w:r w:rsidR="00591733" w:rsidRPr="004728A9">
        <w:rPr>
          <w:rStyle w:val="Appelnotedebasdep"/>
          <w:rFonts w:ascii="Calibri" w:hAnsi="Calibri" w:cs="Calibri"/>
          <w:sz w:val="22"/>
        </w:rPr>
        <w:footnoteReference w:id="13"/>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Morocco, Algeria, Tunisia, Lybia, Egypt, Jordan, Lebanon and the countries bordering on Europe are eligible for financial aid under the EU Neighborhood Policy, launched in 2004 to support and favor stability, security and prosperity in the countries located near EU borders. This policy, modified in November 2015, has two perspectives relevant to this article.</w:t>
      </w:r>
      <w:r w:rsidR="00591733" w:rsidRPr="004728A9">
        <w:rPr>
          <w:rStyle w:val="Appelnotedebasdep"/>
          <w:rFonts w:ascii="Calibri" w:hAnsi="Calibri" w:cs="Calibri"/>
          <w:sz w:val="22"/>
        </w:rPr>
        <w:footnoteReference w:id="14"/>
      </w:r>
      <w:r w:rsidRPr="004728A9">
        <w:rPr>
          <w:rFonts w:ascii="Calibri" w:hAnsi="Calibri" w:cs="Calibri"/>
          <w:sz w:val="22"/>
        </w:rPr>
        <w:t xml:space="preserve"> For one thing, “</w:t>
      </w:r>
      <w:r w:rsidRPr="004728A9">
        <w:rPr>
          <w:rFonts w:ascii="Calibri" w:hAnsi="Calibri" w:cs="Calibri"/>
          <w:i/>
          <w:sz w:val="22"/>
        </w:rPr>
        <w:t>support for the digital economy should be stepped up, to harmonize the digital environments between the EU and its neighbors. This will create jobs, growth and innovation, particularly benefitting the young in terms of opportunities for education and employment, locally or at a distance, and for starting up low initial capital businesses”</w:t>
      </w:r>
      <w:r w:rsidRPr="004728A9">
        <w:rPr>
          <w:rFonts w:ascii="Calibri" w:hAnsi="Calibri" w:cs="Calibri"/>
          <w:sz w:val="22"/>
        </w:rPr>
        <w:t xml:space="preserve"> (p.9). For another, “</w:t>
      </w:r>
      <w:r w:rsidRPr="004728A9">
        <w:rPr>
          <w:rFonts w:ascii="Calibri" w:hAnsi="Calibri" w:cs="Calibri"/>
          <w:i/>
          <w:sz w:val="22"/>
        </w:rPr>
        <w:t>the EU is committed to promoting good governance, democracy, rule of law and human rights</w:t>
      </w:r>
      <w:r w:rsidRPr="004728A9">
        <w:rPr>
          <w:rFonts w:ascii="Calibri" w:hAnsi="Calibri" w:cs="Calibri"/>
          <w:sz w:val="22"/>
        </w:rPr>
        <w:t>” (p.5). The transposition of these principles into concrete programs lies outside the province of the modified text; it is left up to national programs.</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Quite clearly, establishing digital trust services between states and their citizens is a way to promote good governance and the rule of law and to fight against corruption and cybercriminality.</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2" w:name="Generated_Bookmark3"/>
      <w:bookmarkEnd w:id="2"/>
      <w:r w:rsidRPr="004728A9">
        <w:rPr>
          <w:rFonts w:ascii="Calibri" w:hAnsi="Calibri" w:cs="Calibri"/>
          <w:sz w:val="33"/>
          <w:u w:val="single"/>
        </w:rPr>
        <w:t>Africa about to make major innovations</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Looking at the African continent, we notice exceptional advances being made thanks to mobile telephony. Several innovative services, such as payment via cell phones, are taking shape in Africa before Europe, because they respond to needs provided by other services in Europe (but not in Africa).</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In West Africa alone, Ghana borrowed $30 million from the World Bank; Nigeria has made an agreement with MasterCard for introducing digital identification; and the Ivory Coast has made part of its national development plan for 2016-2020 a reform to use digital identification for its national registry. It is more than likely that Africa will develop innovative digital identification and trust services, since it needs them more than Europe.</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Given the overlapping of customary, administrative and commercial traditions, an African’s usual name is not necessarily the registered name assuming, of course, that the country’s population registry is up to date and that addresses can be precisely located. Given the high rate of cybercriminality in e-business on this continent, trust services are even more necessary in Africa than in France.</w:t>
      </w:r>
    </w:p>
    <w:p w:rsidR="00FD233A" w:rsidRPr="004728A9" w:rsidRDefault="007E50D3"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r>
      <w:r w:rsidR="00FD233A" w:rsidRPr="004728A9">
        <w:rPr>
          <w:rFonts w:ascii="Calibri" w:hAnsi="Calibri" w:cs="Calibri"/>
          <w:sz w:val="22"/>
        </w:rPr>
        <w:t>Besides, Africa is a continent where people have an ample capacity for communication and a strong tendency to circulate inside their local area, their country, and even on other continents. The globalization of transactions increases the need, everywhere on the planet, to know the precise digital identities of persons from Africa and to communicate with them in security. In fact, this is a condition for e-business to take off on this continent.</w:t>
      </w:r>
      <w:r w:rsidR="00591733" w:rsidRPr="004728A9">
        <w:rPr>
          <w:rStyle w:val="Appelnotedebasdep"/>
          <w:rFonts w:ascii="Calibri" w:hAnsi="Calibri" w:cs="Calibri"/>
          <w:sz w:val="22"/>
        </w:rPr>
        <w:footnoteReference w:id="15"/>
      </w:r>
    </w:p>
    <w:p w:rsidR="00FD233A" w:rsidRPr="004728A9" w:rsidRDefault="00FD233A" w:rsidP="005C609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3" w:name="Generated_Bookmark4"/>
      <w:bookmarkEnd w:id="3"/>
      <w:r w:rsidRPr="004728A9">
        <w:rPr>
          <w:rFonts w:ascii="Calibri" w:hAnsi="Calibri" w:cs="Calibri"/>
          <w:sz w:val="33"/>
          <w:u w:val="single"/>
        </w:rPr>
        <w:t>The eIDAS regulation’s international aspects</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As of 1 July 2016 in the EU, the eIDAS regulation has instituted the principle of mutual recognition for qualified trust services; and the mutual recognition of e-identification will be mandatory as of September 2018. Article 14 of elDas foresees possibilities for an international recognition of qualified trust services from providers located in countries outside the Union.</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Nothing will keep European firms from proposing to African clients trust services of the same quality as in Europe. This could, for example, enable African students to enroll on line in universities. Likewise, organizations will, we imagine, adapt eIDAS to private enterprise’s needs, in particular for the commercial security of contracts with African countries.</w:t>
      </w:r>
    </w:p>
    <w:p w:rsidR="00FD233A" w:rsidRDefault="00FD233A" w:rsidP="005C609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672000" w:rsidRPr="004728A9" w:rsidRDefault="00672000" w:rsidP="005C609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672000"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4" w:name="Generated_Bookmark5"/>
      <w:bookmarkEnd w:id="4"/>
      <w:r>
        <w:rPr>
          <w:rFonts w:ascii="Calibri" w:hAnsi="Calibri" w:cs="Calibri"/>
          <w:sz w:val="33"/>
          <w:u w:val="single"/>
        </w:rPr>
        <w:br w:type="page"/>
      </w:r>
      <w:r w:rsidR="00FD233A" w:rsidRPr="004728A9">
        <w:rPr>
          <w:rFonts w:ascii="Calibri" w:hAnsi="Calibri" w:cs="Calibri"/>
          <w:sz w:val="33"/>
          <w:u w:val="single"/>
        </w:rPr>
        <w:t>The French and European wait-and-see attitude</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The eIDAS regulation has received very little attention in France.</w:t>
      </w:r>
      <w:r w:rsidR="00591733" w:rsidRPr="004728A9">
        <w:rPr>
          <w:rStyle w:val="Appelnotedebasdep"/>
          <w:rFonts w:ascii="Calibri" w:hAnsi="Calibri" w:cs="Calibri"/>
          <w:sz w:val="22"/>
        </w:rPr>
        <w:footnoteReference w:id="16"/>
      </w:r>
      <w:r w:rsidRPr="004728A9">
        <w:rPr>
          <w:rFonts w:ascii="Calibri" w:hAnsi="Calibri" w:cs="Calibri"/>
          <w:sz w:val="22"/>
        </w:rPr>
        <w:t xml:space="preserve"> It was not mentioned even once in the report by the Conseil National du Numérique to the Prime Minister on 18 June 2015.</w:t>
      </w:r>
      <w:r w:rsidR="00591733" w:rsidRPr="004728A9">
        <w:rPr>
          <w:rStyle w:val="Appelnotedebasdep"/>
          <w:rFonts w:ascii="Calibri" w:hAnsi="Calibri" w:cs="Calibri"/>
          <w:sz w:val="22"/>
        </w:rPr>
        <w:footnoteReference w:id="17"/>
      </w:r>
      <w:r w:rsidRPr="004728A9">
        <w:rPr>
          <w:rFonts w:ascii="Calibri" w:hAnsi="Calibri" w:cs="Calibri"/>
          <w:sz w:val="22"/>
        </w:rPr>
        <w:t xml:space="preserve"> Nor is there any indication that the reform of the law about contracts and the burden of proof, which will soon modify the French Civil Code, has taken this into account.</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By way of comparison, other European countries (such as Estonia) have foreseen the advantages that eIDAS will procure. In anticipation of eIDAS, Estonia already offers to anyone anywhere in the world an Estonian “e-citizenship”. This enables the person to open a bank account in Estonia, have an official address there and, very soon, accomplish administrative formalities anywhere in Europe without a physical residence on the continent. By the way, Estonia will thus increase its tax revenue to the detriment of countries with less foresight. By setting low tax rates for e-businesses, it will legally attract profits and taxes from the European and French small and medium-sized companies that set up e-subsidiaries in Estonia, similar to what Luxembourg has done in dealings with transnational corporations.</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r>
      <w:bookmarkStart w:id="5" w:name="AtStart"/>
      <w:bookmarkEnd w:id="5"/>
      <w:r w:rsidRPr="004728A9">
        <w:rPr>
          <w:rFonts w:ascii="Calibri" w:hAnsi="Calibri" w:cs="Calibri"/>
          <w:sz w:val="22"/>
        </w:rPr>
        <w:t>Seizing the opportunity for sharing development with Africa, France has signed a digital pact with Tunisia and the Ivory Coast. Despite its solid industrial position, France still has a wait-and-see attitude about international cooperation in matters of digital identification and trust services. Meanwhile, Id4Africa, which touts a “</w:t>
      </w:r>
      <w:r w:rsidRPr="004728A9">
        <w:rPr>
          <w:rFonts w:ascii="Calibri" w:hAnsi="Calibri" w:cs="Calibri"/>
          <w:i/>
          <w:sz w:val="22"/>
        </w:rPr>
        <w:t>legal identity for all in Africa</w:t>
      </w:r>
      <w:r w:rsidRPr="004728A9">
        <w:rPr>
          <w:rFonts w:ascii="Calibri" w:hAnsi="Calibri" w:cs="Calibri"/>
          <w:sz w:val="22"/>
        </w:rPr>
        <w:t>”,</w:t>
      </w:r>
      <w:r w:rsidR="00591733" w:rsidRPr="004728A9">
        <w:rPr>
          <w:rStyle w:val="Appelnotedebasdep"/>
          <w:rFonts w:ascii="Calibri" w:hAnsi="Calibri" w:cs="Calibri"/>
          <w:sz w:val="22"/>
        </w:rPr>
        <w:footnoteReference w:id="18"/>
      </w:r>
      <w:r w:rsidRPr="004728A9">
        <w:rPr>
          <w:rFonts w:ascii="Calibri" w:hAnsi="Calibri" w:cs="Calibri"/>
          <w:sz w:val="22"/>
        </w:rPr>
        <w:t xml:space="preserve"> is presided by an American, while several French organizations have postponed indefinitely the offers they have received for cooperation with Africa in matters of digital identification and trusted third parties.</w:t>
      </w:r>
      <w:r w:rsidR="00591733" w:rsidRPr="004728A9">
        <w:rPr>
          <w:rStyle w:val="Appelnotedebasdep"/>
          <w:rFonts w:ascii="Calibri" w:hAnsi="Calibri" w:cs="Calibri"/>
          <w:sz w:val="22"/>
        </w:rPr>
        <w:footnoteReference w:id="19"/>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4728A9">
        <w:rPr>
          <w:rFonts w:ascii="Calibri" w:hAnsi="Calibri" w:cs="Calibri"/>
          <w:sz w:val="22"/>
        </w:rPr>
        <w:tab/>
        <w:t>The EU seems to be starting to react, spurred on by Alexander Decroo, the Belgian deputy prime minister in charge of Development Cooperation, the Digital Agenda, Telecommunications and the Post Office. On 10 July 2015, Decroo launched a call for “Digitalization as a driver of change for development cooperation”.</w:t>
      </w:r>
      <w:r w:rsidR="00591733" w:rsidRPr="004728A9">
        <w:rPr>
          <w:rStyle w:val="Appelnotedebasdep"/>
          <w:rFonts w:ascii="Calibri" w:hAnsi="Calibri" w:cs="Calibri"/>
          <w:sz w:val="22"/>
        </w:rPr>
        <w:footnoteReference w:id="20"/>
      </w:r>
      <w:r w:rsidRPr="004728A9">
        <w:rPr>
          <w:rFonts w:ascii="Calibri" w:hAnsi="Calibri" w:cs="Calibri"/>
          <w:sz w:val="22"/>
        </w:rPr>
        <w:t xml:space="preserve"> It was cosigned by fifteen European ministers, including the French minister of the Public Administration, Annick Girardin. Let us hope this call along with the launching of France Connect</w:t>
      </w:r>
      <w:r w:rsidR="00591733" w:rsidRPr="004728A9">
        <w:rPr>
          <w:rFonts w:ascii="Calibri" w:hAnsi="Calibri" w:cs="Calibri"/>
          <w:sz w:val="22"/>
        </w:rPr>
        <w:t xml:space="preserve"> </w:t>
      </w:r>
      <w:r w:rsidR="00591733" w:rsidRPr="004728A9">
        <w:rPr>
          <w:rStyle w:val="Appelnotedebasdep"/>
          <w:rFonts w:ascii="Calibri" w:hAnsi="Calibri" w:cs="Calibri"/>
          <w:sz w:val="22"/>
        </w:rPr>
        <w:footnoteReference w:id="21"/>
      </w:r>
      <w:r w:rsidRPr="004728A9">
        <w:rPr>
          <w:rFonts w:ascii="Calibri" w:hAnsi="Calibri" w:cs="Calibri"/>
          <w:sz w:val="22"/>
        </w:rPr>
        <w:t xml:space="preserve"> and the work of the research chair “Values and policies of personal information” will help France move beyond its wait-and-see attitude.</w:t>
      </w:r>
    </w:p>
    <w:p w:rsidR="00FD233A" w:rsidRPr="004728A9" w:rsidRDefault="00FD233A"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FD233A" w:rsidRPr="004728A9" w:rsidRDefault="00FD233A" w:rsidP="00A4185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color w:val="000000"/>
          <w:sz w:val="22"/>
        </w:rPr>
      </w:pPr>
    </w:p>
    <w:p w:rsidR="00FD233A" w:rsidRPr="004728A9" w:rsidRDefault="00FD233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rPr>
      </w:pPr>
    </w:p>
    <w:sectPr w:rsidR="00FD233A" w:rsidRPr="004728A9" w:rsidSect="0067200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11" w:rsidRDefault="00121711">
      <w:r>
        <w:separator/>
      </w:r>
    </w:p>
  </w:endnote>
  <w:endnote w:type="continuationSeparator" w:id="0">
    <w:p w:rsidR="00121711" w:rsidRDefault="0012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3A" w:rsidRPr="00814834" w:rsidRDefault="00814834" w:rsidP="00814834">
    <w:pPr>
      <w:pStyle w:val="Pieddepage"/>
      <w:jc w:val="right"/>
      <w:rPr>
        <w:rFonts w:ascii="Calibri" w:hAnsi="Calibri" w:cs="Calibri"/>
      </w:rPr>
    </w:pPr>
    <w:r>
      <w:rPr>
        <w:rFonts w:ascii="Calibri" w:hAnsi="Calibri" w:cs="Calibri"/>
        <w:color w:val="E20936"/>
        <w:sz w:val="22"/>
        <w:szCs w:val="22"/>
      </w:rPr>
      <w:t xml:space="preserve">Réalités Industrielles – August 2016 </w:t>
    </w:r>
    <w:r>
      <w:rPr>
        <w:rFonts w:ascii="Calibri" w:hAnsi="Calibri" w:cs="Calibri"/>
        <w:color w:val="E20936"/>
        <w:sz w:val="22"/>
        <w:szCs w:val="22"/>
        <w:lang w:val="fr-FR"/>
      </w:rPr>
      <w:t xml:space="preserve">- </w:t>
    </w:r>
    <w:r>
      <w:rPr>
        <w:rFonts w:ascii="Calibri" w:hAnsi="Calibri" w:cs="Calibri"/>
        <w:color w:val="E20936"/>
        <w:sz w:val="22"/>
        <w:szCs w:val="22"/>
      </w:rPr>
      <w:fldChar w:fldCharType="begin"/>
    </w:r>
    <w:r>
      <w:rPr>
        <w:rFonts w:ascii="Calibri" w:hAnsi="Calibri" w:cs="Calibri"/>
        <w:color w:val="E20936"/>
        <w:sz w:val="22"/>
        <w:szCs w:val="22"/>
      </w:rPr>
      <w:instrText>PAGE   \* MERGEFORMAT</w:instrText>
    </w:r>
    <w:r>
      <w:rPr>
        <w:rFonts w:ascii="Calibri" w:hAnsi="Calibri" w:cs="Calibri"/>
        <w:color w:val="E20936"/>
        <w:sz w:val="22"/>
        <w:szCs w:val="22"/>
      </w:rPr>
      <w:fldChar w:fldCharType="separate"/>
    </w:r>
    <w:r w:rsidRPr="00814834">
      <w:rPr>
        <w:rFonts w:ascii="Calibri" w:hAnsi="Calibri" w:cs="Calibri"/>
        <w:noProof/>
        <w:color w:val="E20936"/>
        <w:sz w:val="22"/>
        <w:szCs w:val="22"/>
        <w:lang w:val="fr-FR"/>
      </w:rPr>
      <w:t>2</w:t>
    </w:r>
    <w:r>
      <w:rPr>
        <w:rFonts w:ascii="Calibri" w:hAnsi="Calibri" w:cs="Calibri"/>
        <w:color w:val="E20936"/>
        <w:sz w:val="22"/>
        <w:szCs w:val="22"/>
      </w:rPr>
      <w:fldChar w:fldCharType="end"/>
    </w:r>
    <w:bookmarkStart w:id="6" w:name="_GoBack"/>
    <w:bookmarkEnd w:id="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3A" w:rsidRPr="00814834" w:rsidRDefault="00814834" w:rsidP="00814834">
    <w:pPr>
      <w:pStyle w:val="Pieddepage"/>
      <w:jc w:val="right"/>
      <w:rPr>
        <w:rFonts w:ascii="Calibri" w:hAnsi="Calibri" w:cs="Calibri"/>
      </w:rPr>
    </w:pPr>
    <w:r>
      <w:rPr>
        <w:rFonts w:ascii="Calibri" w:hAnsi="Calibri" w:cs="Calibri"/>
        <w:color w:val="E20936"/>
        <w:sz w:val="22"/>
        <w:szCs w:val="22"/>
      </w:rPr>
      <w:t xml:space="preserve">Réalités Industrielles – August 2016 </w:t>
    </w:r>
    <w:r>
      <w:rPr>
        <w:rFonts w:ascii="Calibri" w:hAnsi="Calibri" w:cs="Calibri"/>
        <w:color w:val="E20936"/>
        <w:sz w:val="22"/>
        <w:szCs w:val="22"/>
        <w:lang w:val="fr-FR"/>
      </w:rPr>
      <w:t xml:space="preserve">- </w:t>
    </w:r>
    <w:r>
      <w:rPr>
        <w:rFonts w:ascii="Calibri" w:hAnsi="Calibri" w:cs="Calibri"/>
        <w:color w:val="E20936"/>
        <w:sz w:val="22"/>
        <w:szCs w:val="22"/>
      </w:rPr>
      <w:fldChar w:fldCharType="begin"/>
    </w:r>
    <w:r>
      <w:rPr>
        <w:rFonts w:ascii="Calibri" w:hAnsi="Calibri" w:cs="Calibri"/>
        <w:color w:val="E20936"/>
        <w:sz w:val="22"/>
        <w:szCs w:val="22"/>
      </w:rPr>
      <w:instrText>PAGE   \* MERGEFORMAT</w:instrText>
    </w:r>
    <w:r>
      <w:rPr>
        <w:rFonts w:ascii="Calibri" w:hAnsi="Calibri" w:cs="Calibri"/>
        <w:color w:val="E20936"/>
        <w:sz w:val="22"/>
        <w:szCs w:val="22"/>
      </w:rPr>
      <w:fldChar w:fldCharType="separate"/>
    </w:r>
    <w:r w:rsidR="00121711" w:rsidRPr="00121711">
      <w:rPr>
        <w:rFonts w:ascii="Calibri" w:hAnsi="Calibri" w:cs="Calibri"/>
        <w:noProof/>
        <w:color w:val="E20936"/>
        <w:sz w:val="22"/>
        <w:szCs w:val="22"/>
        <w:lang w:val="fr-FR"/>
      </w:rPr>
      <w:t>1</w:t>
    </w:r>
    <w:r>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34" w:rsidRDefault="008148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11" w:rsidRDefault="00121711">
      <w:r>
        <w:separator/>
      </w:r>
    </w:p>
  </w:footnote>
  <w:footnote w:type="continuationSeparator" w:id="0">
    <w:p w:rsidR="00121711" w:rsidRDefault="00121711">
      <w:r>
        <w:continuationSeparator/>
      </w:r>
    </w:p>
  </w:footnote>
  <w:footnote w:id="1">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For an in-depth analysis of the eIDAS Regulation: D. Gobert, </w:t>
      </w:r>
      <w:r w:rsidRPr="004728A9">
        <w:rPr>
          <w:rFonts w:ascii="Calibri" w:hAnsi="Calibri" w:cs="Calibri"/>
          <w:i/>
          <w:sz w:val="16"/>
          <w:szCs w:val="16"/>
        </w:rPr>
        <w:t>Le règlement européen du 23 juillet 2014 sur l’identification électronique et les services de confiance (eIDAS): Analyse approfondie</w:t>
      </w:r>
      <w:r w:rsidRPr="004728A9">
        <w:rPr>
          <w:rFonts w:ascii="Calibri" w:hAnsi="Calibri" w:cs="Calibri"/>
          <w:sz w:val="16"/>
          <w:szCs w:val="16"/>
        </w:rPr>
        <w:t>, June 2015. Available at:</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http://www.caprioli-avocats.com/images/pdf/ReglementeIDAS.pdf</w:t>
      </w:r>
    </w:p>
  </w:footnote>
  <w:footnote w:id="2">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This article has been written with the precious help of: Gérard Galler (International Relations Officer, European Commission, Directorate-General for Communication Networks, Content &amp; Technology, DG CONNECT, Unit D.1 International); and by Didier Gobert (head of the service Droit de l’Économie Électronique in the division Télécommunications et Société de l’Information de la DG Réglementation Économique, Belgian Ministry of the Economy). It has been translated from French by Noal Mellott (Omaha Beach, France). Several references have been updated in the translated version.</w:t>
      </w:r>
    </w:p>
  </w:footnote>
  <w:footnote w:id="3">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Visit the website www.africafrance.org, in particular:</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http://www.africafrance.org/evenements/reunion-de-lancement-de-fondation-franco-africaine-croissance-15-juillet-2014/</w:t>
      </w:r>
    </w:p>
  </w:footnote>
  <w:footnote w:id="4">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Regulation n° 910/2014 of the European Parliament and of the Council of 23 July 2014 on electronic identification and trust services for electronic transactions in the internal market and repealing Directive 1999/93/EC. Full text available at:</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http://eur-lex.europa.eu/legal-content/EN/TXT/HTML/?uri=OJ:JOL_2014_257_R_0002&amp;from=EN</w:t>
      </w:r>
    </w:p>
  </w:footnote>
  <w:footnote w:id="5">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United Nations, </w:t>
      </w:r>
      <w:r w:rsidRPr="004728A9">
        <w:rPr>
          <w:rFonts w:ascii="Calibri" w:hAnsi="Calibri" w:cs="Calibri"/>
          <w:i/>
          <w:sz w:val="16"/>
          <w:szCs w:val="16"/>
        </w:rPr>
        <w:t>E-Government Survey 2014</w:t>
      </w:r>
      <w:r w:rsidRPr="004728A9">
        <w:rPr>
          <w:rFonts w:ascii="Calibri" w:hAnsi="Calibri" w:cs="Calibri"/>
          <w:sz w:val="16"/>
          <w:szCs w:val="16"/>
        </w:rPr>
        <w:t>. Available at:</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https://publicadministration.un.org/egovkb/en-us/Reports/UN-E-Government-Survey-2014</w:t>
      </w:r>
    </w:p>
  </w:footnote>
  <w:footnote w:id="6">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http://ufmsecretariat.org/fr/union-for-the-mediterranean-ufm-ministerial-meeting-on-digital-economy/</w:t>
      </w:r>
    </w:p>
  </w:footnote>
  <w:footnote w:id="7">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www.ipemed.coop</w:t>
      </w:r>
    </w:p>
  </w:footnote>
  <w:footnote w:id="8">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The conclusions of this conference (”Legal issues related to identity management and trust services”, A/CN.9/891) are available on:</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http://www.uncitral.org/uncitral/en/commission/sessions/49th.html</w:t>
      </w:r>
    </w:p>
  </w:footnote>
  <w:footnote w:id="9">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Joseph Atick, Alan Gelb, Seda Pahlavooni, Ramos Gasol &amp; Zaid Safdar, </w:t>
      </w:r>
      <w:r w:rsidRPr="004728A9">
        <w:rPr>
          <w:rFonts w:ascii="Calibri" w:hAnsi="Calibri" w:cs="Calibri"/>
          <w:i/>
          <w:sz w:val="16"/>
          <w:szCs w:val="16"/>
        </w:rPr>
        <w:t>Digital Identity Toolkit: A Guide for Stakeholders in Africa</w:t>
      </w:r>
      <w:r w:rsidRPr="004728A9">
        <w:rPr>
          <w:rFonts w:ascii="Calibri" w:hAnsi="Calibri" w:cs="Calibri"/>
          <w:sz w:val="16"/>
          <w:szCs w:val="16"/>
        </w:rPr>
        <w:t>, World Bank Working Paper, 2014, 59p. Available via:</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http://documents.worldbank.org/curated/en/2014/06/20272386/digital-identity-toolkit-guide-stakeholders-africa-guide-de-lidentit%C3%A9-%C3%A9lectronique-%C3%A0-lintention-des-parties-prenantes-dafrique</w:t>
      </w:r>
    </w:p>
  </w:footnote>
  <w:footnote w:id="10">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“Annual forum and expo on electronic identity in Africa”, 24-26 May 2016 in Kigali. See:</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http:www.id4africaforum.com/2016/; Twitter: @ID4Africa &amp;</w:t>
      </w:r>
    </w:p>
    <w:p w:rsidR="005C609B" w:rsidRPr="004728A9" w:rsidRDefault="005C609B" w:rsidP="005C609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http://www.id4africaforum.com/2016/files/ID4Africa_2016_Program_Draft_FR.pdf</w:t>
      </w:r>
    </w:p>
  </w:footnote>
  <w:footnote w:id="11">
    <w:p w:rsidR="007E50D3" w:rsidRPr="004728A9" w:rsidRDefault="005C609B"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“Final exploratory seminar on e-signatures for e-business transactions in the Southern Mediterranean region” held on 22-23 January 2014 in Barcelona. Available at:</w:t>
      </w:r>
    </w:p>
    <w:p w:rsidR="005C609B" w:rsidRPr="004728A9" w:rsidRDefault="005C609B"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http://ec.europa.eu/newsroom/dae/document.cfm?doc_id=4282</w:t>
      </w:r>
    </w:p>
  </w:footnote>
  <w:footnote w:id="12">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Point 4 in the declaration of the Union for the Mediterranean Ministerial Meeting on the Digital Economy held on 30 September 2014 in Brussels. Available at:</w:t>
      </w:r>
    </w:p>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ufmsecretariat.org/wp-content/uploads/2014/09/UfMMinistersDeclarationEN.pdf</w:t>
      </w:r>
    </w:p>
  </w:footnote>
  <w:footnote w:id="13">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https://www.linkedin.com/groups/8454617</w:t>
      </w:r>
    </w:p>
  </w:footnote>
  <w:footnote w:id="14">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European Commission, “Joint communication to the European Parliament, the Council, the European Economic and Social Committee and the Committee of the Regions: Review of the European Neighborhood Policy” on 18 November 2015. Available at:</w:t>
      </w:r>
    </w:p>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 xml:space="preserve">http://eeas.europa.eu/enp/documents/2015/151118_joint-communication_review-of-the-enp_en.pdf </w:t>
      </w:r>
    </w:p>
  </w:footnote>
  <w:footnote w:id="15">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Alain Ducass &amp; Jean-Marc Kwadjane, “E-commerce in Africa: Morocco, Tunisia, Senegal and Ivory Coast” IPEMED Series: Building the Mediterranean, April 2016. Available at:</w:t>
      </w:r>
    </w:p>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http://www.ipemed.coop/en/publications-r17/building-the-mediterranean-c49/e-commerce-in-africa-morocco-tunisia-senegal-and-ivory-coast-a2751.html</w:t>
      </w:r>
    </w:p>
  </w:footnote>
  <w:footnote w:id="16">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Isabelle Renard, “Le règlement elDAS aurait-il échappé aux français?”, July 2015.. Available at:</w:t>
      </w:r>
    </w:p>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 xml:space="preserve">www.globalsecuritymag.fr/Isabelle-Renard-Le-reglement-EiDAS,20150706,54129.html </w:t>
      </w:r>
    </w:p>
  </w:footnote>
  <w:footnote w:id="17">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Conseil National du Numérique, “Ambition numérique: Pour une politique française et européenne de la transition numérique”, report to the Prime Minister, June 2015, . Available at:</w:t>
      </w:r>
    </w:p>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Fonts w:ascii="Calibri" w:hAnsi="Calibri" w:cs="Calibri"/>
          <w:sz w:val="16"/>
          <w:szCs w:val="16"/>
        </w:rPr>
        <w:t>CNNum--rapport-ambition-numerique.pdf available at http://cnnumerique.fr/</w:t>
      </w:r>
    </w:p>
  </w:footnote>
  <w:footnote w:id="18">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www.id4africaforum.com </w:t>
      </w:r>
    </w:p>
  </w:footnote>
  <w:footnote w:id="19">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color w:val="000000"/>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Such as the DGE, Secure Identity Alliance (https://www.secureidentityalliance.org) and Fédération Nationale des Tiers de Confiance (https://www.fntc.org/). ADETEF and French businessmen have repeatedly suggested to the Direction Générale des Entreprises (DGE) to list digital identification and trust services among the projects of international cooperation, but the </w:t>
      </w:r>
      <w:r w:rsidRPr="004728A9">
        <w:rPr>
          <w:rFonts w:ascii="Calibri" w:hAnsi="Calibri" w:cs="Calibri"/>
          <w:color w:val="000000"/>
          <w:sz w:val="16"/>
          <w:szCs w:val="16"/>
        </w:rPr>
        <w:t>Secrétariat Général pour la Modernisation de l’Action Publique (SGMAP) has halted advances in this field since 2000.</w:t>
      </w:r>
    </w:p>
  </w:footnote>
  <w:footnote w:id="20">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color w:val="000000"/>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w:t>
      </w:r>
      <w:r w:rsidRPr="004728A9">
        <w:rPr>
          <w:rFonts w:ascii="Calibri" w:hAnsi="Calibri" w:cs="Calibri"/>
          <w:color w:val="000000"/>
          <w:sz w:val="16"/>
          <w:szCs w:val="16"/>
        </w:rPr>
        <w:t>http://www.decroo.belgium.be/fr/le-ministre-de-croo-prend-une-initiative-europ%C3%A9enne-afin-de-donner-%C3%A0-la-digitalisation-un-r%C3%B4le</w:t>
      </w:r>
    </w:p>
  </w:footnote>
  <w:footnote w:id="21">
    <w:p w:rsidR="00591733" w:rsidRPr="004728A9" w:rsidRDefault="00591733" w:rsidP="0059173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color w:val="000000"/>
          <w:sz w:val="16"/>
          <w:szCs w:val="16"/>
        </w:rPr>
      </w:pPr>
      <w:r w:rsidRPr="004728A9">
        <w:rPr>
          <w:rStyle w:val="Appelnotedebasdep"/>
          <w:rFonts w:ascii="Calibri" w:hAnsi="Calibri" w:cs="Calibri"/>
          <w:sz w:val="16"/>
          <w:szCs w:val="16"/>
        </w:rPr>
        <w:footnoteRef/>
      </w:r>
      <w:r w:rsidRPr="004728A9">
        <w:rPr>
          <w:rFonts w:ascii="Calibri" w:hAnsi="Calibri" w:cs="Calibri"/>
          <w:sz w:val="16"/>
          <w:szCs w:val="16"/>
        </w:rPr>
        <w:t xml:space="preserve"> </w:t>
      </w:r>
      <w:r w:rsidRPr="004728A9">
        <w:rPr>
          <w:rFonts w:ascii="Calibri" w:hAnsi="Calibri" w:cs="Calibri"/>
          <w:color w:val="000000"/>
          <w:sz w:val="16"/>
          <w:szCs w:val="16"/>
        </w:rPr>
        <w:t>http://etatplateforme.modernisation.gouv.fr/identite-numerique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3A" w:rsidRDefault="00FD233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3A" w:rsidRDefault="00FD233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34" w:rsidRDefault="0081483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33A"/>
    <w:rsid w:val="00121711"/>
    <w:rsid w:val="00354629"/>
    <w:rsid w:val="004728A9"/>
    <w:rsid w:val="00591733"/>
    <w:rsid w:val="00595730"/>
    <w:rsid w:val="005C609B"/>
    <w:rsid w:val="00672000"/>
    <w:rsid w:val="006F0434"/>
    <w:rsid w:val="007706FE"/>
    <w:rsid w:val="007E50D3"/>
    <w:rsid w:val="00814834"/>
    <w:rsid w:val="00840860"/>
    <w:rsid w:val="00917177"/>
    <w:rsid w:val="00A41859"/>
    <w:rsid w:val="00D70DF6"/>
    <w:rsid w:val="00FD2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pPr>
      <w:widowControl w:val="0"/>
    </w:pPr>
    <w:rPr>
      <w:b/>
      <w:sz w:val="36"/>
      <w:u w:val="single"/>
    </w:rPr>
  </w:style>
  <w:style w:type="paragraph" w:customStyle="1" w:styleId="ArticleTit2">
    <w:name w:val="ArticleTit2"/>
    <w:basedOn w:val="Normal"/>
    <w:pPr>
      <w:widowControl w:val="0"/>
    </w:pPr>
    <w:rPr>
      <w:b/>
      <w:sz w:val="29"/>
    </w:rPr>
  </w:style>
  <w:style w:type="paragraph" w:customStyle="1" w:styleId="ArticleTit3">
    <w:name w:val="ArticleTit3"/>
    <w:basedOn w:val="Normal"/>
    <w:pPr>
      <w:widowControl w:val="0"/>
    </w:pPr>
    <w:rPr>
      <w:b/>
      <w:i/>
    </w:rPr>
  </w:style>
  <w:style w:type="paragraph" w:customStyle="1" w:styleId="ArticleTit4">
    <w:name w:val="ArticleTit4"/>
    <w:basedOn w:val="Normal"/>
    <w:pPr>
      <w:widowControl w:val="0"/>
    </w:pPr>
    <w:rPr>
      <w:i/>
    </w:rPr>
  </w:style>
  <w:style w:type="paragraph" w:customStyle="1" w:styleId="ArticleTit5">
    <w:name w:val="ArticleTit5"/>
    <w:basedOn w:val="Normal"/>
    <w:pPr>
      <w:widowControl w:val="0"/>
    </w:pPr>
    <w:rPr>
      <w:smallCaps/>
    </w:r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LineTight">
    <w:name w:val="LineTight"/>
    <w:rPr>
      <w:rFonts w:cs="Times New Roman"/>
    </w:rPr>
  </w:style>
  <w:style w:type="character" w:customStyle="1" w:styleId="Redline">
    <w:name w:val="Redline"/>
    <w:rPr>
      <w:u w:val="single"/>
    </w:rPr>
  </w:style>
  <w:style w:type="character" w:customStyle="1" w:styleId="XOut">
    <w:name w:val="XOut"/>
    <w:rPr>
      <w:strike/>
    </w:rPr>
  </w:style>
  <w:style w:type="paragraph" w:customStyle="1" w:styleId="Heading0">
    <w:name w:val="Heading0"/>
    <w:basedOn w:val="Normal"/>
    <w:pPr>
      <w:widowControl w:val="0"/>
      <w:spacing w:after="20"/>
      <w:jc w:val="center"/>
    </w:pPr>
    <w:rPr>
      <w:b/>
      <w:sz w:val="36"/>
    </w:rPr>
  </w:style>
  <w:style w:type="paragraph" w:customStyle="1" w:styleId="DashX">
    <w:name w:val="DashX"/>
    <w:basedOn w:val="Normal"/>
    <w:pPr>
      <w:widowControl w:val="0"/>
      <w:tabs>
        <w:tab w:val="left" w:pos="0"/>
        <w:tab w:val="left" w:pos="454"/>
        <w:tab w:val="left" w:pos="1020"/>
        <w:tab w:val="left" w:pos="1700"/>
        <w:tab w:val="left" w:pos="3118"/>
        <w:tab w:val="left" w:pos="4592"/>
        <w:tab w:val="left" w:pos="6010"/>
        <w:tab w:val="left" w:pos="7427"/>
        <w:tab w:val="left" w:pos="7937"/>
      </w:tabs>
      <w:spacing w:after="20"/>
    </w:pPr>
  </w:style>
  <w:style w:type="character" w:customStyle="1" w:styleId="LineBiblio">
    <w:name w:val="LineBiblio"/>
    <w:rPr>
      <w:rFonts w:cs="Times New Roman"/>
    </w:rPr>
  </w:style>
  <w:style w:type="character" w:customStyle="1" w:styleId="SYSHYPERTEXT">
    <w:name w:val="SYS_HYPERTEXT"/>
    <w:rPr>
      <w:color w:val="0000FF"/>
      <w:u w:val="single"/>
    </w:rPr>
  </w:style>
  <w:style w:type="paragraph" w:styleId="En-tte">
    <w:name w:val="header"/>
    <w:basedOn w:val="Normal"/>
    <w:link w:val="En-tteCar"/>
    <w:uiPriority w:val="99"/>
    <w:unhideWhenUsed/>
    <w:rsid w:val="00917177"/>
    <w:pPr>
      <w:tabs>
        <w:tab w:val="center" w:pos="4536"/>
        <w:tab w:val="right" w:pos="9072"/>
      </w:tabs>
    </w:pPr>
  </w:style>
  <w:style w:type="character" w:customStyle="1" w:styleId="En-tteCar">
    <w:name w:val="En-tête Car"/>
    <w:link w:val="En-tte"/>
    <w:uiPriority w:val="99"/>
    <w:rsid w:val="00917177"/>
    <w:rPr>
      <w:sz w:val="24"/>
      <w:lang w:val="en-US"/>
    </w:rPr>
  </w:style>
  <w:style w:type="paragraph" w:styleId="Pieddepage">
    <w:name w:val="footer"/>
    <w:basedOn w:val="Normal"/>
    <w:link w:val="PieddepageCar"/>
    <w:uiPriority w:val="99"/>
    <w:unhideWhenUsed/>
    <w:rsid w:val="00917177"/>
    <w:pPr>
      <w:tabs>
        <w:tab w:val="center" w:pos="4536"/>
        <w:tab w:val="right" w:pos="9072"/>
      </w:tabs>
    </w:pPr>
  </w:style>
  <w:style w:type="character" w:customStyle="1" w:styleId="PieddepageCar">
    <w:name w:val="Pied de page Car"/>
    <w:link w:val="Pieddepage"/>
    <w:uiPriority w:val="99"/>
    <w:rsid w:val="00917177"/>
    <w:rPr>
      <w:sz w:val="24"/>
      <w:lang w:val="en-US"/>
    </w:rPr>
  </w:style>
  <w:style w:type="paragraph" w:styleId="Notedebasdepage">
    <w:name w:val="footnote text"/>
    <w:basedOn w:val="Normal"/>
    <w:link w:val="NotedebasdepageCar"/>
    <w:uiPriority w:val="99"/>
    <w:semiHidden/>
    <w:unhideWhenUsed/>
    <w:rsid w:val="005C609B"/>
    <w:rPr>
      <w:sz w:val="20"/>
    </w:rPr>
  </w:style>
  <w:style w:type="character" w:customStyle="1" w:styleId="NotedebasdepageCar">
    <w:name w:val="Note de bas de page Car"/>
    <w:link w:val="Notedebasdepage"/>
    <w:uiPriority w:val="99"/>
    <w:semiHidden/>
    <w:rsid w:val="005C609B"/>
    <w:rPr>
      <w:lang w:val="en-US"/>
    </w:rPr>
  </w:style>
  <w:style w:type="character" w:styleId="Appelnotedebasdep">
    <w:name w:val="footnote reference"/>
    <w:uiPriority w:val="99"/>
    <w:semiHidden/>
    <w:unhideWhenUsed/>
    <w:rsid w:val="005C60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0633">
      <w:bodyDiv w:val="1"/>
      <w:marLeft w:val="0"/>
      <w:marRight w:val="0"/>
      <w:marTop w:val="0"/>
      <w:marBottom w:val="0"/>
      <w:divBdr>
        <w:top w:val="none" w:sz="0" w:space="0" w:color="auto"/>
        <w:left w:val="none" w:sz="0" w:space="0" w:color="auto"/>
        <w:bottom w:val="none" w:sz="0" w:space="0" w:color="auto"/>
        <w:right w:val="none" w:sz="0" w:space="0" w:color="auto"/>
      </w:divBdr>
    </w:div>
    <w:div w:id="13388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395CD-E8FF-41EB-B831-D1F0B4C4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2229</Words>
  <Characters>11770</Characters>
  <Application>Microsoft Office Word</Application>
  <DocSecurity>0</DocSecurity>
  <Lines>214</Lines>
  <Paragraphs>74</Paragraphs>
  <ScaleCrop>false</ScaleCrop>
  <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Michaux</cp:lastModifiedBy>
  <cp:revision>10</cp:revision>
  <dcterms:created xsi:type="dcterms:W3CDTF">2015-01-28T10:30:00Z</dcterms:created>
  <dcterms:modified xsi:type="dcterms:W3CDTF">2017-01-20T09:12:00Z</dcterms:modified>
</cp:coreProperties>
</file>