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36A" w:rsidRPr="004579CC" w:rsidRDefault="00A1536A" w:rsidP="00316BDA">
      <w:pPr>
        <w:pStyle w:val="Heading0"/>
        <w:widowControl/>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Theme="minorHAnsi" w:hAnsiTheme="minorHAnsi" w:cstheme="minorHAnsi"/>
          <w:sz w:val="33"/>
        </w:rPr>
      </w:pPr>
      <w:r w:rsidRPr="004579CC">
        <w:rPr>
          <w:rFonts w:asciiTheme="minorHAnsi" w:hAnsiTheme="minorHAnsi" w:cstheme="minorHAnsi"/>
          <w:sz w:val="33"/>
        </w:rPr>
        <w:t>How to regulate on-line platforms in Europe?</w:t>
      </w: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316BDA" w:rsidRPr="004579CC" w:rsidRDefault="00316BD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Style w:val="LineTight"/>
          <w:rFonts w:asciiTheme="minorHAnsi" w:hAnsiTheme="minorHAnsi" w:cstheme="minorHAnsi"/>
          <w:sz w:val="22"/>
        </w:rPr>
      </w:pPr>
      <w:r w:rsidRPr="004579CC">
        <w:rPr>
          <w:rFonts w:asciiTheme="minorHAnsi" w:hAnsiTheme="minorHAnsi" w:cstheme="minorHAnsi"/>
          <w:b/>
          <w:sz w:val="22"/>
        </w:rPr>
        <w:t>Winston Maxwell</w:t>
      </w:r>
      <w:r w:rsidRPr="004579CC">
        <w:rPr>
          <w:rFonts w:asciiTheme="minorHAnsi" w:hAnsiTheme="minorHAnsi" w:cstheme="minorHAnsi"/>
          <w:sz w:val="22"/>
        </w:rPr>
        <w:t>, associate attorney at Hogan Lovells, and</w:t>
      </w:r>
      <w:r w:rsidRPr="004579CC">
        <w:rPr>
          <w:rFonts w:asciiTheme="minorHAnsi" w:hAnsiTheme="minorHAnsi" w:cstheme="minorHAnsi"/>
          <w:b/>
          <w:sz w:val="22"/>
        </w:rPr>
        <w:t xml:space="preserve"> Thierry Pénard</w:t>
      </w:r>
      <w:r w:rsidRPr="004579CC">
        <w:rPr>
          <w:rFonts w:asciiTheme="minorHAnsi" w:hAnsiTheme="minorHAnsi" w:cstheme="minorHAnsi"/>
          <w:sz w:val="22"/>
        </w:rPr>
        <w:t>, professor of economics at the University of Rennes I</w:t>
      </w: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Style w:val="LineTight"/>
          <w:rFonts w:asciiTheme="minorHAnsi" w:hAnsiTheme="minorHAnsi" w:cstheme="minorHAnsi"/>
          <w:sz w:val="22"/>
        </w:rPr>
      </w:pPr>
    </w:p>
    <w:p w:rsidR="00316BDA" w:rsidRPr="004579CC" w:rsidRDefault="00316BD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Style w:val="LineTight"/>
          <w:rFonts w:asciiTheme="minorHAnsi" w:hAnsiTheme="minorHAnsi" w:cstheme="minorHAnsi"/>
          <w:sz w:val="22"/>
        </w:rPr>
      </w:pP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Style w:val="LineTight"/>
          <w:rFonts w:asciiTheme="minorHAnsi" w:hAnsiTheme="minorHAnsi" w:cstheme="minorHAnsi"/>
          <w:sz w:val="22"/>
        </w:rPr>
      </w:pPr>
      <w:r w:rsidRPr="004579CC">
        <w:rPr>
          <w:rStyle w:val="LineTight"/>
          <w:rFonts w:asciiTheme="minorHAnsi" w:hAnsiTheme="minorHAnsi" w:cstheme="minorHAnsi"/>
          <w:b/>
          <w:sz w:val="22"/>
        </w:rPr>
        <w:t>For</w:t>
      </w:r>
      <w:r w:rsidRPr="004579CC">
        <w:rPr>
          <w:rStyle w:val="LineTight"/>
          <w:rFonts w:asciiTheme="minorHAnsi" w:hAnsiTheme="minorHAnsi" w:cstheme="minorHAnsi"/>
          <w:sz w:val="22"/>
        </w:rPr>
        <w:t xml:space="preserve">: In Jean-Pierre Dardayrol (ed.) </w:t>
      </w:r>
      <w:r w:rsidRPr="004579CC">
        <w:rPr>
          <w:rStyle w:val="LineTight"/>
          <w:rFonts w:asciiTheme="minorHAnsi" w:hAnsiTheme="minorHAnsi" w:cstheme="minorHAnsi"/>
          <w:i/>
          <w:sz w:val="22"/>
        </w:rPr>
        <w:t>The European digital union</w:t>
      </w:r>
      <w:r w:rsidRPr="004579CC">
        <w:rPr>
          <w:rStyle w:val="LineTight"/>
          <w:rFonts w:asciiTheme="minorHAnsi" w:hAnsiTheme="minorHAnsi" w:cstheme="minorHAnsi"/>
          <w:sz w:val="22"/>
        </w:rPr>
        <w:t xml:space="preserve"> [special issue of </w:t>
      </w:r>
      <w:r w:rsidRPr="004579CC">
        <w:rPr>
          <w:rStyle w:val="LineTight"/>
          <w:rFonts w:asciiTheme="minorHAnsi" w:hAnsiTheme="minorHAnsi" w:cstheme="minorHAnsi"/>
          <w:i/>
          <w:sz w:val="22"/>
        </w:rPr>
        <w:t>Réalités Industrielles</w:t>
      </w:r>
      <w:r w:rsidRPr="004579CC">
        <w:rPr>
          <w:rStyle w:val="LineTight"/>
          <w:rFonts w:asciiTheme="minorHAnsi" w:hAnsiTheme="minorHAnsi" w:cstheme="minorHAnsi"/>
          <w:sz w:val="22"/>
        </w:rPr>
        <w:t>, August 2016</w:t>
      </w: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Style w:val="LineTight"/>
          <w:rFonts w:asciiTheme="minorHAnsi" w:hAnsiTheme="minorHAnsi" w:cstheme="minorHAnsi"/>
          <w:sz w:val="22"/>
        </w:rPr>
      </w:pPr>
      <w:bookmarkStart w:id="0" w:name="AtStart"/>
      <w:bookmarkEnd w:id="0"/>
    </w:p>
    <w:p w:rsidR="00316BDA" w:rsidRPr="004579CC" w:rsidRDefault="00316BD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Style w:val="LineTight"/>
          <w:rFonts w:asciiTheme="minorHAnsi" w:hAnsiTheme="minorHAnsi" w:cstheme="minorHAnsi"/>
          <w:sz w:val="22"/>
        </w:rPr>
      </w:pPr>
    </w:p>
    <w:p w:rsidR="00D0312A"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Style w:val="LineTight"/>
          <w:rFonts w:asciiTheme="minorHAnsi" w:hAnsiTheme="minorHAnsi" w:cstheme="minorHAnsi"/>
          <w:sz w:val="22"/>
        </w:rPr>
      </w:pPr>
      <w:r w:rsidRPr="004579CC">
        <w:rPr>
          <w:rStyle w:val="LineTight"/>
          <w:rFonts w:asciiTheme="minorHAnsi" w:hAnsiTheme="minorHAnsi" w:cstheme="minorHAnsi"/>
          <w:b/>
          <w:i/>
          <w:sz w:val="22"/>
        </w:rPr>
        <w:t>Summary</w:t>
      </w:r>
      <w:r w:rsidRPr="004579CC">
        <w:rPr>
          <w:rStyle w:val="LineTight"/>
          <w:rFonts w:asciiTheme="minorHAnsi" w:hAnsiTheme="minorHAnsi" w:cstheme="minorHAnsi"/>
          <w:sz w:val="22"/>
        </w:rPr>
        <w:t xml:space="preserve">: </w:t>
      </w: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Style w:val="LineTight"/>
          <w:rFonts w:asciiTheme="minorHAnsi" w:hAnsiTheme="minorHAnsi" w:cstheme="minorHAnsi"/>
          <w:sz w:val="22"/>
        </w:rPr>
      </w:pPr>
      <w:bookmarkStart w:id="1" w:name="_GoBack"/>
      <w:bookmarkEnd w:id="1"/>
      <w:r w:rsidRPr="004579CC">
        <w:rPr>
          <w:rStyle w:val="LineTight"/>
          <w:rFonts w:asciiTheme="minorHAnsi" w:hAnsiTheme="minorHAnsi" w:cstheme="minorHAnsi"/>
          <w:sz w:val="22"/>
        </w:rPr>
        <w:t xml:space="preserve">The success of digital platforms, which play a role, both constructive and disruptive, in the economy, has spawned societal, political and economic concerns. The question of regulating them is on the agenda in Europe and France. Though recognizing the problems stemming from powerful organizations like Google, Amazon or Facebook, this article shows that regulating these platforms would encounter several difficulties, economic as well as legal. Given the digital marketplace’s instability and its strong potential for technological and social innovations, the cost and inefficiency of regulations of this sort are pointed out. A pragmatic approach based on existing law is preferable as a remedy for the problems caused by digital platforms, especially in emerging markets. The European Commission has advocated this cautious approach, and the OECD has formulated it as a methodology in </w:t>
      </w:r>
      <w:r w:rsidRPr="004579CC">
        <w:rPr>
          <w:rStyle w:val="LineTight"/>
          <w:rFonts w:asciiTheme="minorHAnsi" w:hAnsiTheme="minorHAnsi" w:cstheme="minorHAnsi"/>
          <w:i/>
          <w:sz w:val="22"/>
        </w:rPr>
        <w:t>Better Regulation in Europe</w:t>
      </w:r>
      <w:r w:rsidRPr="004579CC">
        <w:rPr>
          <w:rStyle w:val="LineTight"/>
          <w:rFonts w:asciiTheme="minorHAnsi" w:hAnsiTheme="minorHAnsi" w:cstheme="minorHAnsi"/>
          <w:sz w:val="22"/>
        </w:rPr>
        <w:t>.</w:t>
      </w: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Style w:val="LineTight"/>
          <w:rFonts w:asciiTheme="minorHAnsi" w:hAnsiTheme="minorHAnsi" w:cstheme="minorHAnsi"/>
          <w:sz w:val="22"/>
        </w:rPr>
      </w:pPr>
    </w:p>
    <w:p w:rsidR="00F6188B" w:rsidRPr="004579CC" w:rsidRDefault="00F6188B"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Style w:val="LineTight"/>
          <w:rFonts w:asciiTheme="minorHAnsi" w:hAnsiTheme="minorHAnsi" w:cstheme="minorHAnsi"/>
          <w:sz w:val="22"/>
        </w:rPr>
      </w:pPr>
    </w:p>
    <w:p w:rsidR="00F6188B" w:rsidRPr="004579CC" w:rsidRDefault="00F6188B"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Style w:val="LineTight"/>
          <w:rFonts w:asciiTheme="minorHAnsi" w:hAnsiTheme="minorHAnsi" w:cstheme="minorHAnsi"/>
          <w:sz w:val="22"/>
        </w:rPr>
      </w:pP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4579CC">
        <w:rPr>
          <w:rFonts w:asciiTheme="minorHAnsi" w:hAnsiTheme="minorHAnsi" w:cstheme="minorHAnsi"/>
          <w:sz w:val="22"/>
        </w:rPr>
        <w:tab/>
        <w:t>Overwhelmingly endorsed by cybernauts, digital platforms, such as AirBnB, Blablacar, Facebook or Google, now play an ever more leading role in all businesses with no exceptions (culture, tourism, finance, retail trade, services, etc.). Their success has effects, as constructive as disruptive, that are a cause of worry politically, economically and societally.</w:t>
      </w:r>
      <w:r w:rsidR="00F6188B" w:rsidRPr="004579CC">
        <w:rPr>
          <w:rStyle w:val="Appelnotedebasdep"/>
          <w:rFonts w:asciiTheme="minorHAnsi" w:hAnsiTheme="minorHAnsi" w:cstheme="minorHAnsi"/>
          <w:sz w:val="22"/>
        </w:rPr>
        <w:footnoteReference w:id="1"/>
      </w: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4579CC">
        <w:rPr>
          <w:rFonts w:asciiTheme="minorHAnsi" w:hAnsiTheme="minorHAnsi" w:cstheme="minorHAnsi"/>
          <w:sz w:val="22"/>
        </w:rPr>
        <w:tab/>
        <w:t>The major concerns focus on these platforms’ economic weight and the danger of anticompetitive practices (abusive clauses in contracts, exclusivity, discrimination and so forth) toward client firms or toward other service- or content-providers. Another cause of apprehension stems from the platforms’ relations with cybernauts and their use of personal data (lack of transparency and accountability, excessive data collection, etc.). Broader concerns have also been voiced about the damage to society: the diffusion of unlawful contents, noncompliance with fiscal regulations or infringements on digital sovereignty (when the platforms are of American origin).</w:t>
      </w: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4579CC">
        <w:rPr>
          <w:rFonts w:asciiTheme="minorHAnsi" w:hAnsiTheme="minorHAnsi" w:cstheme="minorHAnsi"/>
          <w:sz w:val="22"/>
        </w:rPr>
        <w:tab/>
        <w:t>These preoccupations are clearly illustrated by the proceedings opened by the European Commission (henceforth EC) against Google Shopping in 2010 and, more recently, Android, the mobile phone operating system. Google’s critics have repeatedly pointed to the slow pace of proceedings and the inadequacy of competition law for putting an end to the incriminated practices.</w:t>
      </w: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4579CC">
        <w:rPr>
          <w:rFonts w:asciiTheme="minorHAnsi" w:hAnsiTheme="minorHAnsi" w:cstheme="minorHAnsi"/>
          <w:sz w:val="22"/>
        </w:rPr>
        <w:tab/>
        <w:t>This is the context in France and Europe where the idea of adopting specific regulations for digital platforms has taken shape. According to the communication from the EC (6/5/2015), “</w:t>
      </w:r>
      <w:r w:rsidRPr="004579CC">
        <w:rPr>
          <w:rFonts w:asciiTheme="minorHAnsi" w:hAnsiTheme="minorHAnsi" w:cstheme="minorHAnsi"/>
          <w:i/>
          <w:sz w:val="22"/>
        </w:rPr>
        <w:t>Some on-line platforms have evolved to become players competing in many sectors of the economy, and the way they use their market power raises a number of issues that warrant further analysis beyond the application of competition law in specific cases</w:t>
      </w:r>
      <w:r w:rsidRPr="004579CC">
        <w:rPr>
          <w:rFonts w:asciiTheme="minorHAnsi" w:hAnsiTheme="minorHAnsi" w:cstheme="minorHAnsi"/>
          <w:sz w:val="22"/>
        </w:rPr>
        <w:t>.”</w:t>
      </w: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4579CC">
        <w:rPr>
          <w:rFonts w:asciiTheme="minorHAnsi" w:hAnsiTheme="minorHAnsi" w:cstheme="minorHAnsi"/>
          <w:sz w:val="22"/>
        </w:rPr>
        <w:tab/>
        <w:t>As part of its strategy for a Digital Single Market, the EC (25/5/2016) issued a fact sheet for a “</w:t>
      </w:r>
      <w:r w:rsidRPr="004579CC">
        <w:rPr>
          <w:rFonts w:asciiTheme="minorHAnsi" w:hAnsiTheme="minorHAnsi" w:cstheme="minorHAnsi"/>
          <w:i/>
          <w:sz w:val="22"/>
        </w:rPr>
        <w:t>targeted approach to on-line platforms</w:t>
      </w:r>
      <w:r w:rsidRPr="004579CC">
        <w:rPr>
          <w:rFonts w:asciiTheme="minorHAnsi" w:hAnsiTheme="minorHAnsi" w:cstheme="minorHAnsi"/>
          <w:sz w:val="22"/>
        </w:rPr>
        <w:t xml:space="preserve">”, which combines regulatory obligations, self-regulation and co-regulation. Without waiting for the conclusion of this European debate, </w:t>
      </w:r>
      <w:r w:rsidRPr="004579CC">
        <w:rPr>
          <w:rStyle w:val="Redline"/>
          <w:rFonts w:asciiTheme="minorHAnsi" w:hAnsiTheme="minorHAnsi" w:cstheme="minorHAnsi"/>
          <w:sz w:val="22"/>
        </w:rPr>
        <w:t xml:space="preserve">the French </w:t>
      </w:r>
      <w:r w:rsidRPr="004579CC">
        <w:rPr>
          <w:rStyle w:val="Redline"/>
          <w:rFonts w:asciiTheme="minorHAnsi" w:hAnsiTheme="minorHAnsi" w:cstheme="minorHAnsi"/>
          <w:sz w:val="22"/>
        </w:rPr>
        <w:lastRenderedPageBreak/>
        <w:t>act “for a digital republic” has been passed with regulations and new obligations for on-line platforms</w:t>
      </w:r>
      <w:r w:rsidRPr="004579CC">
        <w:rPr>
          <w:rFonts w:asciiTheme="minorHAnsi" w:hAnsiTheme="minorHAnsi" w:cstheme="minorHAnsi"/>
          <w:sz w:val="22"/>
        </w:rPr>
        <w:t>.</w:t>
      </w:r>
      <w:r w:rsidR="00F6188B" w:rsidRPr="004579CC">
        <w:rPr>
          <w:rStyle w:val="Appelnotedebasdep"/>
          <w:rFonts w:asciiTheme="minorHAnsi" w:hAnsiTheme="minorHAnsi" w:cstheme="minorHAnsi"/>
          <w:sz w:val="22"/>
        </w:rPr>
        <w:footnoteReference w:id="2"/>
      </w:r>
      <w:r w:rsidRPr="004579CC">
        <w:rPr>
          <w:rFonts w:asciiTheme="minorHAnsi" w:hAnsiTheme="minorHAnsi" w:cstheme="minorHAnsi"/>
          <w:sz w:val="22"/>
        </w:rPr>
        <w:t xml:space="preserve"> These platforms now have to provide users with clear, transparent, reliable information about the general conditions for using their services, about their methods of listing and ranking products, and about the relations (contracts, financial holdings) between a platform and the services it lists.</w:t>
      </w: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4579CC">
        <w:rPr>
          <w:rFonts w:asciiTheme="minorHAnsi" w:hAnsiTheme="minorHAnsi" w:cstheme="minorHAnsi"/>
          <w:sz w:val="22"/>
        </w:rPr>
        <w:tab/>
        <w:t>We would like to examine the cogency of regulating on-line platforms. Without disputing the quite real problems stemming from platforms as strong as Google, Amazon or Facebook, we shall show that a specific regulation would occasion problems, both economic and legal. Solutions, better adapted to the technological and economic characteristics of digital markets, are then proposed in line with the “Better Regulation” methodology advocated by the EC (13/5/2015) and OECD.</w:t>
      </w:r>
    </w:p>
    <w:p w:rsidR="00A1536A" w:rsidRPr="004579CC" w:rsidRDefault="00A1536A" w:rsidP="00316BDA">
      <w:pPr>
        <w:pStyle w:val="ArticleTit1"/>
        <w:widowControl/>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u w:val="none"/>
        </w:rPr>
      </w:pP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bookmarkStart w:id="2" w:name="Generated_Bookmark1"/>
      <w:bookmarkEnd w:id="2"/>
      <w:r w:rsidRPr="004579CC">
        <w:rPr>
          <w:rFonts w:asciiTheme="minorHAnsi" w:hAnsiTheme="minorHAnsi" w:cstheme="minorHAnsi"/>
          <w:sz w:val="33"/>
          <w:u w:val="single"/>
        </w:rPr>
        <w:t>Platforms in an economic perspective</w:t>
      </w: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4579CC">
        <w:rPr>
          <w:rFonts w:asciiTheme="minorHAnsi" w:hAnsiTheme="minorHAnsi" w:cstheme="minorHAnsi"/>
          <w:sz w:val="22"/>
        </w:rPr>
        <w:tab/>
        <w:t xml:space="preserve">The first obstacle to a specific regulation about digital platforms: there is no economic definition of what is to be regulated. Economists define digital platforms by the services provided (information, searches, communications, transactions) as much as by business models (market shares or advertising) or the resulting ecosystems. Given this potentially vast range of services and business models, it is hard to formulate clear guidelines for regulating digital platforms as a legal category. The EC (25/5/2016) has listed five main categories of on-line platforms: e-businesses, ecosystems of mobile applications, search engines, social media and on-line advertising. </w:t>
      </w: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4579CC">
        <w:rPr>
          <w:rFonts w:asciiTheme="minorHAnsi" w:hAnsiTheme="minorHAnsi" w:cstheme="minorHAnsi"/>
          <w:sz w:val="22"/>
        </w:rPr>
        <w:tab/>
        <w:t>The common denominator is that these platforms are multisided: they bring into relation several groups of users who are unable, alone or mutually, to “capture” the value of their interactions. Following up on Rochet and Tirole (2003, 2006), the theory of two-sided markets has tried to describe platforms’ strategies and their economic impact (BOUDREAU &amp; HAGIU 2010; EVANS &amp; SCHMALENSEE 2007; CHOUDARY, PARKER &amp; VAN ALSTYNE 2016). But these studies do not propose an operational definition of what is (or is not) a digital platform.</w:t>
      </w: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4579CC">
        <w:rPr>
          <w:rFonts w:asciiTheme="minorHAnsi" w:hAnsiTheme="minorHAnsi" w:cstheme="minorHAnsi"/>
          <w:sz w:val="22"/>
        </w:rPr>
        <w:tab/>
        <w:t>Owing to the lack of clear, objective criteria for identifying and defining platforms, ambiguity arises about the sectors and firms likely to fall inside the scope of a regulation targeting platforms. The EC (25/5/2016, p.45) has pointed out this problem.</w:t>
      </w: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4579CC">
        <w:rPr>
          <w:rFonts w:asciiTheme="minorHAnsi" w:hAnsiTheme="minorHAnsi" w:cstheme="minorHAnsi"/>
          <w:sz w:val="22"/>
        </w:rPr>
        <w:tab/>
        <w:t>A second obstacle has to do with the markets where digital platforms are active (SHAPIRO &amp; VARIAN 1998; MALIN &amp; PÉNARD 2010). These markets have economic characteristics that both hinder competition (by favoring the concentration of existing businesses) and stimulate the arrival of new businesses or the renewal of existing businesses.</w:t>
      </w: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4579CC">
        <w:rPr>
          <w:rFonts w:asciiTheme="minorHAnsi" w:hAnsiTheme="minorHAnsi" w:cstheme="minorHAnsi"/>
          <w:sz w:val="22"/>
        </w:rPr>
        <w:tab/>
        <w:t xml:space="preserve">First of all, the firms (in particular platforms) on these markets have high fixed costs and rather low marginal costs for the production or distribution of services and contents. This generates economies of scale and leads to a concentration on the supply side. These markets also have considerable, direct and indirect, network effects: the utility or advantages of a service supplied by a platform are directly and/or indirectly influenced by the (actual or potential) number of those who use the service. These network effects are larger on platforms providing communication services (social media, such as Facebook or Snapchat) than on search engine platforms. The combination of economies of scale and network effects sets off a positive feedback loop that accelerates the platform’s diffusion. The more users a platform has, the more new ones it is going to attract. A platform’s success (or survival) depends, therefore, on its capacity for attracting a critical mass (threshold) of users. As a consequence, the platform’s on-line activities are very risky but, too, tantalizing, since the winner takes all (of the market). </w:t>
      </w:r>
    </w:p>
    <w:p w:rsidR="004579CC" w:rsidRDefault="004579CC">
      <w:pPr>
        <w:rPr>
          <w:rFonts w:asciiTheme="minorHAnsi" w:hAnsiTheme="minorHAnsi" w:cstheme="minorHAnsi"/>
          <w:sz w:val="22"/>
        </w:rPr>
      </w:pPr>
      <w:r>
        <w:rPr>
          <w:rFonts w:asciiTheme="minorHAnsi" w:hAnsiTheme="minorHAnsi" w:cstheme="minorHAnsi"/>
          <w:sz w:val="22"/>
        </w:rPr>
        <w:br w:type="page"/>
      </w: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4579CC">
        <w:rPr>
          <w:rFonts w:asciiTheme="minorHAnsi" w:hAnsiTheme="minorHAnsi" w:cstheme="minorHAnsi"/>
          <w:sz w:val="22"/>
        </w:rPr>
        <w:tab/>
        <w:t>Finally, the buoyant pace of innovations is another characteristic of digital markets. Owing to it, newcomers enter the market more easily; and market shares can soon be redistributed. A firm with a strong position on a digital market never feels protected. It must constantly innovate to keep its position and make innovations faster than competitors. Competition is “for” — not “inside” — the market (SHELANSKI 2013). This last characteristic, by itself, offers a powerful means for regulating e-markets.</w:t>
      </w: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4579CC">
        <w:rPr>
          <w:rFonts w:asciiTheme="minorHAnsi" w:hAnsiTheme="minorHAnsi" w:cstheme="minorHAnsi"/>
          <w:sz w:val="22"/>
        </w:rPr>
        <w:tab/>
        <w:t>Citing network effects and the interdependence between different “sides” of the market, economists have insisted on the complexity and risks of regulations targeting platforms. Given that platforms are multi-sided, a regulation targeting a single side of the market might turn out to be inappropriate and set off counterproductive or uncontrolled effects on the other sides of the market (EVANS &amp; SCHMALENSEE 2014). When intervening, regulatory authorities take the risk of bringing innovation to a standstill; and they risk halting value creation, which would be impossible outside these platforms.</w:t>
      </w:r>
    </w:p>
    <w:p w:rsidR="00A1536A" w:rsidRPr="004579CC" w:rsidRDefault="00A1536A" w:rsidP="00316BDA">
      <w:pPr>
        <w:pStyle w:val="ArticleTit1"/>
        <w:widowControl/>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bookmarkStart w:id="3" w:name="Generated_Bookmark2"/>
      <w:bookmarkEnd w:id="3"/>
      <w:r w:rsidRPr="004579CC">
        <w:rPr>
          <w:rFonts w:asciiTheme="minorHAnsi" w:hAnsiTheme="minorHAnsi" w:cstheme="minorHAnsi"/>
          <w:sz w:val="33"/>
          <w:u w:val="single"/>
        </w:rPr>
        <w:t>What approach to adopt to “better regulate” platforms?</w:t>
      </w: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4579CC">
        <w:rPr>
          <w:rFonts w:asciiTheme="minorHAnsi" w:hAnsiTheme="minorHAnsi" w:cstheme="minorHAnsi"/>
          <w:sz w:val="22"/>
        </w:rPr>
        <w:tab/>
        <w:t>In line with the Better Regulation methodology advocated by the OECD (2011, 2012) and the EC, the need for regulation has to be evaluated in relation, first of all, to a well-defined objective (usually to correct a proven market anomaly) and then to a “</w:t>
      </w:r>
      <w:r w:rsidRPr="004579CC">
        <w:rPr>
          <w:rFonts w:asciiTheme="minorHAnsi" w:hAnsiTheme="minorHAnsi" w:cstheme="minorHAnsi"/>
          <w:i/>
          <w:sz w:val="22"/>
        </w:rPr>
        <w:t>baseline scenario</w:t>
      </w:r>
      <w:r w:rsidRPr="004579CC">
        <w:rPr>
          <w:rFonts w:asciiTheme="minorHAnsi" w:hAnsiTheme="minorHAnsi" w:cstheme="minorHAnsi"/>
          <w:sz w:val="22"/>
        </w:rPr>
        <w:t xml:space="preserve">” for projecting how this anomaly is likely to evolve if regulatory authorities abstain from intervening. This scenario must not be static but, on the contrary, take into account the probable evolution of both the market and regulatory environment in the coming years (RENDA </w:t>
      </w:r>
      <w:r w:rsidRPr="004579CC">
        <w:rPr>
          <w:rFonts w:asciiTheme="minorHAnsi" w:hAnsiTheme="minorHAnsi" w:cstheme="minorHAnsi"/>
          <w:i/>
          <w:sz w:val="22"/>
        </w:rPr>
        <w:t>et al</w:t>
      </w:r>
      <w:r w:rsidRPr="004579CC">
        <w:rPr>
          <w:rFonts w:asciiTheme="minorHAnsi" w:hAnsiTheme="minorHAnsi" w:cstheme="minorHAnsi"/>
          <w:sz w:val="22"/>
        </w:rPr>
        <w:t>. 2013).</w:t>
      </w: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4579CC">
        <w:rPr>
          <w:rFonts w:asciiTheme="minorHAnsi" w:hAnsiTheme="minorHAnsi" w:cstheme="minorHAnsi"/>
          <w:sz w:val="22"/>
        </w:rPr>
        <w:tab/>
        <w:t>In the case of a proposal for a specific regulation on platforms, the first step will, therefore, be to clearly specify the failures on the market under question: abuse of dominant position, negative externalities, information asymmetry, etc. A baseline scenario will then describe how these failures are addressed using current regulations and laws (antitrust legislation, EU regulations on protecting personal data, consumer protection laws, class action suits). If nonbinding legal arrangements (charters, codes of conduct or recommendations) exist, their eventual application must also be brought under consideration.</w:t>
      </w: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4579CC">
        <w:rPr>
          <w:rFonts w:asciiTheme="minorHAnsi" w:hAnsiTheme="minorHAnsi" w:cstheme="minorHAnsi"/>
          <w:sz w:val="22"/>
        </w:rPr>
        <w:tab/>
        <w:t>Once the baseline scenario has been established, its efficiency must be compared with that of the various proposals for regulation. If the problem is an abuse of dominant position by platforms in relation to businesses (for instance, hotels), it is to be evaluated in the baseline scenario and in a scenario providing for a specific regulation. If, for example, the problem is evaluated at ten in the baseline scenario (no regulation) but at eight in the scenario of a specific regulation, the regulation’s hoped-for benefit is two (ten minus eight).</w:t>
      </w: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4579CC">
        <w:rPr>
          <w:rFonts w:asciiTheme="minorHAnsi" w:hAnsiTheme="minorHAnsi" w:cstheme="minorHAnsi"/>
          <w:sz w:val="22"/>
        </w:rPr>
        <w:tab/>
        <w:t>Each regulatory option’s costs (direct and indirect) must then be assessed in relation to the baseline scenario. Direct costs include the costs of implementing the new regulatory framework (for human resources, additional funds, setting up a new administrative agency) as well as the costs for the firms affected by the new regulation (once again, for human resources, fees for outside services, such as lawyers, etc.). Indirect costs include the impact on innovation, fundamental rights, competition or the openness of the Internet. They are hard to assess quantitatively, but they must, at least, be evaluated qualitatively.</w:t>
      </w: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4579CC">
        <w:rPr>
          <w:rFonts w:asciiTheme="minorHAnsi" w:hAnsiTheme="minorHAnsi" w:cstheme="minorHAnsi"/>
          <w:sz w:val="22"/>
        </w:rPr>
        <w:tab/>
        <w:t>At the end of this process, the option bearing the highest net benefit (benefits minus costs) is to be preferred. However an analysis of this sort is not simple to make in the case of on-line markets, since the latter are economically volatile and technologically unpredictable. Regulating digital markets is prone to error and inefficiency. As Shelanski (2013) has explained, the costs stemming from unadapted regulations are much higher than the costs of no intervention (the baseline scenario). In other words, the costs of a Type I error (applying a poorly targeted regulation) will be higher than those of a Type II error (inaction). When in doubt, it is better to not regulate on-line markets, which are changing rapidly.</w:t>
      </w: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4579CC">
        <w:rPr>
          <w:rFonts w:asciiTheme="minorHAnsi" w:hAnsiTheme="minorHAnsi" w:cstheme="minorHAnsi"/>
          <w:sz w:val="22"/>
        </w:rPr>
        <w:tab/>
        <w:t>In 2007, the EC already recognized the unpredictability of emerging markets in its recommendation for regulating electronic communication markets: “</w:t>
      </w:r>
      <w:r w:rsidRPr="004579CC">
        <w:rPr>
          <w:rFonts w:asciiTheme="minorHAnsi" w:hAnsiTheme="minorHAnsi" w:cstheme="minorHAnsi"/>
          <w:i/>
          <w:sz w:val="22"/>
        </w:rPr>
        <w:t>In general, new and emerging markets are unstable, exhibiting uncertainty of supply and demand and fluctuations in market shares. They are characterized by a significant degree of innovation which can lead to abrupt and unexpected changes (as opposed to a natural evolution over time).</w:t>
      </w:r>
      <w:r w:rsidRPr="004579CC">
        <w:rPr>
          <w:rFonts w:asciiTheme="minorHAnsi" w:hAnsiTheme="minorHAnsi" w:cstheme="minorHAnsi"/>
          <w:sz w:val="22"/>
        </w:rPr>
        <w:t>”</w:t>
      </w: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4579CC">
        <w:rPr>
          <w:rFonts w:asciiTheme="minorHAnsi" w:hAnsiTheme="minorHAnsi" w:cstheme="minorHAnsi"/>
          <w:sz w:val="22"/>
        </w:rPr>
        <w:tab/>
        <w:t>In compliance with this EU methodology, member states should (in principle) make no haste to regulate the markets where on-line platforms are being installed. Hoever this pragmatic approach to regulation does not always measure up to the political circumstances. In the case of platforms, political actions respond to pressure from citizens and interest groups. This pressure might be motivated by more or less rational fears (SUNSTEIN 2005). To respond to apprehensions, a regulation might be adopted for its symbolic value — what has been called the “</w:t>
      </w:r>
      <w:r w:rsidRPr="004579CC">
        <w:rPr>
          <w:rFonts w:asciiTheme="minorHAnsi" w:hAnsiTheme="minorHAnsi" w:cstheme="minorHAnsi"/>
          <w:i/>
          <w:sz w:val="22"/>
        </w:rPr>
        <w:t>expressive</w:t>
      </w:r>
      <w:r w:rsidRPr="004579CC">
        <w:rPr>
          <w:rFonts w:asciiTheme="minorHAnsi" w:hAnsiTheme="minorHAnsi" w:cstheme="minorHAnsi"/>
          <w:sz w:val="22"/>
        </w:rPr>
        <w:t>” (SUNSTEIN 1996) or “</w:t>
      </w:r>
      <w:r w:rsidRPr="004579CC">
        <w:rPr>
          <w:rFonts w:asciiTheme="minorHAnsi" w:hAnsiTheme="minorHAnsi" w:cstheme="minorHAnsi"/>
          <w:i/>
          <w:sz w:val="22"/>
        </w:rPr>
        <w:t>normative</w:t>
      </w:r>
      <w:r w:rsidRPr="004579CC">
        <w:rPr>
          <w:rFonts w:asciiTheme="minorHAnsi" w:hAnsiTheme="minorHAnsi" w:cstheme="minorHAnsi"/>
          <w:sz w:val="22"/>
        </w:rPr>
        <w:t>” (SCHULTZ 2008) function of the law. In this case, the regulation’s efficiency is a concomitant criterion. As Sunstein (2005) has shown, several US regulations for protecting the environment were responses to specific spectacular events. The efficiency of such regulations is uncertain, since their costs far exceed their benefits to society.</w:t>
      </w: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4579CC">
        <w:rPr>
          <w:rFonts w:asciiTheme="minorHAnsi" w:hAnsiTheme="minorHAnsi" w:cstheme="minorHAnsi"/>
          <w:sz w:val="22"/>
        </w:rPr>
        <w:tab/>
        <w:t>Institutionally, a regulator, whether a lawmaker or an agency, will prefer action (</w:t>
      </w:r>
      <w:r w:rsidRPr="004579CC">
        <w:rPr>
          <w:rFonts w:asciiTheme="minorHAnsi" w:hAnsiTheme="minorHAnsi" w:cstheme="minorHAnsi"/>
          <w:i/>
          <w:sz w:val="22"/>
        </w:rPr>
        <w:t>i.e.</w:t>
      </w:r>
      <w:r w:rsidRPr="004579CC">
        <w:rPr>
          <w:rFonts w:asciiTheme="minorHAnsi" w:hAnsiTheme="minorHAnsi" w:cstheme="minorHAnsi"/>
          <w:sz w:val="22"/>
        </w:rPr>
        <w:t>, regulation) to inaction (</w:t>
      </w:r>
      <w:r w:rsidRPr="004579CC">
        <w:rPr>
          <w:rFonts w:asciiTheme="minorHAnsi" w:hAnsiTheme="minorHAnsi" w:cstheme="minorHAnsi"/>
          <w:i/>
          <w:sz w:val="22"/>
        </w:rPr>
        <w:t>i.e.</w:t>
      </w:r>
      <w:r w:rsidRPr="004579CC">
        <w:rPr>
          <w:rFonts w:asciiTheme="minorHAnsi" w:hAnsiTheme="minorHAnsi" w:cstheme="minorHAnsi"/>
          <w:sz w:val="22"/>
        </w:rPr>
        <w:t>, no regulation), since the political benefits of action occur immediately whereas the costs of a poorly adapted regulation become visible only in the middle or long run, usually after the political reckoning date on the regulator’s mind. With respect to on-line platforms, the regulatory authority’s normal attitude will, therefore, be to intervene, since the regulator will not have to face the costs resulting from excessive regulation. On the contrary, a more cautious solution, namely no regulation, would maximize the net benefits for society. The Better Regulation methodology seeks to make sure that merely symbolic arguments or institutional issues do not obfuscate the assessment of a regulation’s efficiency (</w:t>
      </w:r>
      <w:r w:rsidRPr="004579CC">
        <w:rPr>
          <w:rFonts w:asciiTheme="minorHAnsi" w:hAnsiTheme="minorHAnsi" w:cstheme="minorHAnsi"/>
          <w:i/>
          <w:sz w:val="22"/>
        </w:rPr>
        <w:t>i.e.</w:t>
      </w:r>
      <w:r w:rsidRPr="004579CC">
        <w:rPr>
          <w:rFonts w:asciiTheme="minorHAnsi" w:hAnsiTheme="minorHAnsi" w:cstheme="minorHAnsi"/>
          <w:sz w:val="22"/>
        </w:rPr>
        <w:t>, net benefits compared with the baseline scenario).</w:t>
      </w:r>
    </w:p>
    <w:p w:rsidR="00A1536A" w:rsidRPr="004579CC" w:rsidRDefault="00A1536A" w:rsidP="00316BDA">
      <w:pPr>
        <w:pStyle w:val="ArticleTit1"/>
        <w:widowControl/>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bookmarkStart w:id="4" w:name="Generated_Bookmark3"/>
      <w:bookmarkEnd w:id="4"/>
      <w:r w:rsidRPr="004579CC">
        <w:rPr>
          <w:rFonts w:asciiTheme="minorHAnsi" w:hAnsiTheme="minorHAnsi" w:cstheme="minorHAnsi"/>
          <w:sz w:val="33"/>
          <w:u w:val="single"/>
        </w:rPr>
        <w:t>Conclusion</w:t>
      </w: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4579CC">
        <w:rPr>
          <w:rFonts w:asciiTheme="minorHAnsi" w:hAnsiTheme="minorHAnsi" w:cstheme="minorHAnsi"/>
          <w:sz w:val="22"/>
        </w:rPr>
        <w:tab/>
        <w:t>Platforms, such as trade shows and fairs, came into being long ago. Nevertheless, digital platforms stand out owing to their capacity for bringing individuals into relation on a large scale, which augments network effects and value creation via technological, economic and social innovations. The recent trend toward regulating on-line platforms in Europe tends to underestimate the potential of innovations and the problems in working out a legal definition of platforms.</w:t>
      </w: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4579CC">
        <w:rPr>
          <w:rFonts w:asciiTheme="minorHAnsi" w:hAnsiTheme="minorHAnsi" w:cstheme="minorHAnsi"/>
          <w:sz w:val="22"/>
        </w:rPr>
        <w:tab/>
        <w:t>This article has drawn attention to the complexity and costs, direct and indirect, of a specific regulation during the current phase in the growth of on-line markets.</w:t>
      </w: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4579CC">
        <w:rPr>
          <w:rFonts w:asciiTheme="minorHAnsi" w:hAnsiTheme="minorHAnsi" w:cstheme="minorHAnsi"/>
          <w:sz w:val="22"/>
        </w:rPr>
        <w:tab/>
        <w:t>First of all, the target of such a regulation, namely digital platforms, potentially concerns a multitude of services and intermediaries with very little in common apart from their presence on two-sided markets.</w:t>
      </w: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4579CC">
        <w:rPr>
          <w:rFonts w:asciiTheme="minorHAnsi" w:hAnsiTheme="minorHAnsi" w:cstheme="minorHAnsi"/>
          <w:sz w:val="22"/>
        </w:rPr>
        <w:tab/>
        <w:t>Secondly, neither authorities not economists are capable of mustering evidence of durable market anomalies that are to be blamed on the platforms alone. Aware of these arguments, the EC is starting to advocate a “</w:t>
      </w:r>
      <w:r w:rsidRPr="004579CC">
        <w:rPr>
          <w:rFonts w:asciiTheme="minorHAnsi" w:hAnsiTheme="minorHAnsi" w:cstheme="minorHAnsi"/>
          <w:i/>
          <w:sz w:val="22"/>
        </w:rPr>
        <w:t>problem-based approach</w:t>
      </w:r>
      <w:r w:rsidRPr="004579CC">
        <w:rPr>
          <w:rFonts w:asciiTheme="minorHAnsi" w:hAnsiTheme="minorHAnsi" w:cstheme="minorHAnsi"/>
          <w:sz w:val="22"/>
        </w:rPr>
        <w:t>” to regulation instead of targeting platforms as such. For the time being in France, the Competition Authority, CNIL, DGCCRF and courts have managed to apply existing legal rules to settle the problems encountered on platforms like Google or Booking. In fact, the Competition Authority is not calling for a specific regulation of platforms, since it sees itself as fully competent for coping with threats to competition.</w:t>
      </w: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bookmarkStart w:id="5" w:name="TrFrEngListsON"/>
      <w:bookmarkEnd w:id="5"/>
      <w:r w:rsidRPr="004579CC">
        <w:rPr>
          <w:rFonts w:asciiTheme="minorHAnsi" w:hAnsiTheme="minorHAnsi" w:cstheme="minorHAnsi"/>
          <w:sz w:val="22"/>
        </w:rPr>
        <w:tab/>
        <w:t>In fact, no assessment has been made of the potentially negative effects that a regulation targeting on-line platforms would have on competition and innovation. Till now, this lack of assessment has been justified by the inference: since a platform has a sizeable share of the market on at least one side of the market, it must necessarily be regulated. This argument is moot for several raisons.</w:t>
      </w: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4579CC">
        <w:rPr>
          <w:rFonts w:asciiTheme="minorHAnsi" w:hAnsiTheme="minorHAnsi" w:cstheme="minorHAnsi"/>
          <w:sz w:val="22"/>
        </w:rPr>
        <w:tab/>
        <w:t xml:space="preserve">First of all, having a large share of a market is not necessarily proof of power in the case of digital markets. This holds, in particular, for platforms with business models that, based on the platform’s audience, have low costs </w:t>
      </w:r>
      <w:r w:rsidRPr="004579CC">
        <w:rPr>
          <w:rStyle w:val="Redline"/>
          <w:rFonts w:asciiTheme="minorHAnsi" w:hAnsiTheme="minorHAnsi" w:cstheme="minorHAnsi"/>
          <w:sz w:val="22"/>
        </w:rPr>
        <w:t>to consumers when they switch platforms</w:t>
      </w:r>
      <w:r w:rsidRPr="004579CC">
        <w:rPr>
          <w:rFonts w:asciiTheme="minorHAnsi" w:hAnsiTheme="minorHAnsi" w:cstheme="minorHAnsi"/>
          <w:sz w:val="22"/>
        </w:rPr>
        <w:t>.</w:t>
      </w: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4579CC">
        <w:rPr>
          <w:rFonts w:asciiTheme="minorHAnsi" w:hAnsiTheme="minorHAnsi" w:cstheme="minorHAnsi"/>
          <w:sz w:val="22"/>
        </w:rPr>
        <w:tab/>
        <w:t>Secondly, the existence of market power or of a dominant position is not a problem as such. What causes a problem is the abusive use of this power; and competiton law already provides for that.</w:t>
      </w: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4579CC">
        <w:rPr>
          <w:rFonts w:asciiTheme="minorHAnsi" w:hAnsiTheme="minorHAnsi" w:cstheme="minorHAnsi"/>
          <w:sz w:val="22"/>
        </w:rPr>
        <w:tab/>
        <w:t>Thirdly, the services (such as insurance or payment services) offered via on-line platforms are often already regulated as such.</w:t>
      </w: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4579CC">
        <w:rPr>
          <w:rFonts w:asciiTheme="minorHAnsi" w:hAnsiTheme="minorHAnsi" w:cstheme="minorHAnsi"/>
          <w:sz w:val="22"/>
        </w:rPr>
        <w:tab/>
        <w:t>Finally, the problems cropping up in digital markets are often temporary. A premature intervention might be a cause of high costs and a source of errors. For this reason, the OECD and EC require detailed cost/benefit analyses before considering whether to adopt new regulatory measures. The purpose is to see to it that regulations respond to genuine needs that neither the market nor existing legislation can address. In France, the recently passed Lemaire Act on a Digital Republic, despite the hearings conducted beforehand, does not seem to have followed this approach.</w:t>
      </w: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bookmarkStart w:id="6" w:name="TrFrEngListsOFF"/>
      <w:bookmarkEnd w:id="6"/>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bookmarkStart w:id="7" w:name="Generated_Bookmark5"/>
      <w:bookmarkEnd w:id="7"/>
      <w:r w:rsidRPr="004579CC">
        <w:rPr>
          <w:rFonts w:asciiTheme="minorHAnsi" w:hAnsiTheme="minorHAnsi" w:cstheme="minorHAnsi"/>
          <w:sz w:val="33"/>
          <w:u w:val="single"/>
        </w:rPr>
        <w:t>References</w:t>
      </w: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bookmarkStart w:id="8" w:name="Notes"/>
      <w:bookmarkEnd w:id="8"/>
      <w:r w:rsidRPr="004579CC">
        <w:rPr>
          <w:rFonts w:asciiTheme="minorHAnsi" w:hAnsiTheme="minorHAnsi" w:cstheme="minorHAnsi"/>
          <w:sz w:val="22"/>
        </w:rPr>
        <w:t xml:space="preserve">BOUDREAU (K.) &amp; HAGIU (A.), “Platform rules: Multi-sided platforms as regulators” in GAWER  (A.) (ed.), </w:t>
      </w:r>
      <w:r w:rsidRPr="004579CC">
        <w:rPr>
          <w:rFonts w:asciiTheme="minorHAnsi" w:hAnsiTheme="minorHAnsi" w:cstheme="minorHAnsi"/>
          <w:i/>
          <w:sz w:val="22"/>
        </w:rPr>
        <w:t>Platforms, Markets and Innovation</w:t>
      </w:r>
      <w:r w:rsidRPr="004579CC">
        <w:rPr>
          <w:rFonts w:asciiTheme="minorHAnsi" w:hAnsiTheme="minorHAnsi" w:cstheme="minorHAnsi"/>
          <w:sz w:val="22"/>
        </w:rPr>
        <w:t xml:space="preserve"> (Northampton, MA: Edward Elgar, 2010).</w:t>
      </w: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4579CC">
        <w:rPr>
          <w:rFonts w:asciiTheme="minorHAnsi" w:hAnsiTheme="minorHAnsi" w:cstheme="minorHAnsi"/>
          <w:sz w:val="22"/>
        </w:rPr>
        <w:t xml:space="preserve">CHOUDARY (S.P.), PARKER (G.) &amp; VAN ALSTYNE (M.), </w:t>
      </w:r>
      <w:r w:rsidRPr="004579CC">
        <w:rPr>
          <w:rFonts w:asciiTheme="minorHAnsi" w:hAnsiTheme="minorHAnsi" w:cstheme="minorHAnsi"/>
          <w:i/>
          <w:sz w:val="22"/>
        </w:rPr>
        <w:t>Platform Revolution</w:t>
      </w:r>
      <w:r w:rsidRPr="004579CC">
        <w:rPr>
          <w:rFonts w:asciiTheme="minorHAnsi" w:hAnsiTheme="minorHAnsi" w:cstheme="minorHAnsi"/>
          <w:sz w:val="22"/>
        </w:rPr>
        <w:t xml:space="preserve"> (New York: Norton, 2016).</w:t>
      </w: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E36ACF"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4579CC">
        <w:rPr>
          <w:rFonts w:asciiTheme="minorHAnsi" w:hAnsiTheme="minorHAnsi" w:cstheme="minorHAnsi"/>
          <w:sz w:val="22"/>
        </w:rPr>
        <w:t>EUROPEAN COMMISSION, “Staff Working Document accompanying the Commission Recommendation on Relevant Product and Service Markets within the electronic communications sector”, SEC(2007) 1483/2, 12 November 2007. Available via:</w:t>
      </w: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4579CC">
        <w:rPr>
          <w:rFonts w:asciiTheme="minorHAnsi" w:hAnsiTheme="minorHAnsi" w:cstheme="minorHAnsi"/>
          <w:sz w:val="22"/>
        </w:rPr>
        <w:t>http://ec.europa.eu/transparency/regdoc/?fuseaction=list&amp;coteId=2&amp;year=2007&amp;number=1483&amp;version=ALL&amp;language=sv</w:t>
      </w: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E36ACF"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4579CC">
        <w:rPr>
          <w:rFonts w:asciiTheme="minorHAnsi" w:hAnsiTheme="minorHAnsi" w:cstheme="minorHAnsi"/>
          <w:sz w:val="22"/>
        </w:rPr>
        <w:t>EUROPEAN COMMISSION, §3.3.2 in “Communication from the Commission to the European Parliament, the Council, the European Economic and Social Committee and the Committee of the Regions: A Digital Single Market Strategy for Europe” COM(2015) 192 final, 6 May 2015. Available at:</w:t>
      </w: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4579CC">
        <w:rPr>
          <w:rFonts w:asciiTheme="minorHAnsi" w:hAnsiTheme="minorHAnsi" w:cstheme="minorHAnsi"/>
          <w:sz w:val="22"/>
        </w:rPr>
        <w:t>http://eur-lex.europa.eu/legal-content/EN/TXT/?qid=1447773803386&amp;uri=CELEX:52015DC0192</w:t>
      </w: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4579CC">
        <w:rPr>
          <w:rFonts w:asciiTheme="minorHAnsi" w:hAnsiTheme="minorHAnsi" w:cstheme="minorHAnsi"/>
          <w:sz w:val="22"/>
        </w:rPr>
        <w:t>EUROPEAN COMMISSION, Staff Working Document, “Better Regulation guidelines” and “Better Regulation toolbox”, SWD (2015) final, 19 May 2015. Available respectively via:</w:t>
      </w:r>
      <w:r w:rsidRPr="004579CC">
        <w:rPr>
          <w:rFonts w:asciiTheme="minorHAnsi" w:hAnsiTheme="minorHAnsi" w:cstheme="minorHAnsi"/>
          <w:sz w:val="22"/>
        </w:rPr>
        <w:br/>
        <w:t>http://eur-lex.europa.eu/legal-content/EN/TXT/?qid=1479218042952&amp;uri=CELEX:52015SC0111</w:t>
      </w: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E36ACF"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4579CC">
        <w:rPr>
          <w:rFonts w:asciiTheme="minorHAnsi" w:hAnsiTheme="minorHAnsi" w:cstheme="minorHAnsi"/>
          <w:sz w:val="22"/>
        </w:rPr>
        <w:t>EUROPEAN COMMISSION, “Fact sheet: Digital Single Market – Commission updates EU audiovisual rules and presents targeted approach to on-line platforms”, 25 May 2016. Available at:</w:t>
      </w: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4579CC">
        <w:rPr>
          <w:rFonts w:asciiTheme="minorHAnsi" w:hAnsiTheme="minorHAnsi" w:cstheme="minorHAnsi"/>
          <w:sz w:val="22"/>
        </w:rPr>
        <w:t>http://europa.eu/rapid/press-release_MEMO-16-1895_en.htm</w:t>
      </w: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E36ACF"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4579CC">
        <w:rPr>
          <w:rFonts w:asciiTheme="minorHAnsi" w:hAnsiTheme="minorHAnsi" w:cstheme="minorHAnsi"/>
          <w:sz w:val="22"/>
        </w:rPr>
        <w:t>EUROPEAN COMMISSION, “Communication from the Commission to the European Parliament, the Council, the European Economic and Social Committee and the Committee of the Regions: On-line platforms and the Digital Single Market: Opportunities and challenges for Europe”, COM(2016) 288 final, 25 May 2016. Available at:</w:t>
      </w: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4579CC">
        <w:rPr>
          <w:rFonts w:asciiTheme="minorHAnsi" w:hAnsiTheme="minorHAnsi" w:cstheme="minorHAnsi"/>
          <w:sz w:val="22"/>
        </w:rPr>
        <w:t>http://eur-lex.europa.eu/legal-content/EN/TXT/?uri=CELEX:52016DC0288</w:t>
      </w: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4579CC" w:rsidRDefault="004579CC">
      <w:pPr>
        <w:rPr>
          <w:rFonts w:asciiTheme="minorHAnsi" w:hAnsiTheme="minorHAnsi" w:cstheme="minorHAnsi"/>
          <w:sz w:val="22"/>
        </w:rPr>
      </w:pPr>
      <w:r>
        <w:rPr>
          <w:rFonts w:asciiTheme="minorHAnsi" w:hAnsiTheme="minorHAnsi" w:cstheme="minorHAnsi"/>
          <w:sz w:val="22"/>
        </w:rPr>
        <w:br w:type="page"/>
      </w:r>
    </w:p>
    <w:p w:rsidR="00E36ACF"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4579CC">
        <w:rPr>
          <w:rFonts w:asciiTheme="minorHAnsi" w:hAnsiTheme="minorHAnsi" w:cstheme="minorHAnsi"/>
          <w:sz w:val="22"/>
        </w:rPr>
        <w:t>EUROPEAN COMMISSION, “Staff working document: On-line platforms” SWD (2016) 172, 25 May 2016. Available via</w:t>
      </w: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4579CC">
        <w:rPr>
          <w:rFonts w:asciiTheme="minorHAnsi" w:hAnsiTheme="minorHAnsi" w:cstheme="minorHAnsi"/>
          <w:sz w:val="22"/>
        </w:rPr>
        <w:t>http://eur-lex.europa.eu/legal-content/EN/TXT/?qid=1479211912342&amp;uri=CELEX:52016SC0172</w:t>
      </w: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4579CC">
        <w:rPr>
          <w:rFonts w:asciiTheme="minorHAnsi" w:hAnsiTheme="minorHAnsi" w:cstheme="minorHAnsi"/>
          <w:sz w:val="22"/>
        </w:rPr>
        <w:t xml:space="preserve">EVANS (D.) &amp; SCHMALENSEE (R.), “The industrial organization of two-sided platforms”, </w:t>
      </w:r>
      <w:r w:rsidRPr="004579CC">
        <w:rPr>
          <w:rFonts w:asciiTheme="minorHAnsi" w:hAnsiTheme="minorHAnsi" w:cstheme="minorHAnsi"/>
          <w:i/>
          <w:sz w:val="22"/>
        </w:rPr>
        <w:t>Competition Policy International</w:t>
      </w:r>
      <w:r w:rsidRPr="004579CC">
        <w:rPr>
          <w:rFonts w:asciiTheme="minorHAnsi" w:hAnsiTheme="minorHAnsi" w:cstheme="minorHAnsi"/>
          <w:sz w:val="22"/>
        </w:rPr>
        <w:t>, 3(1), 2007.</w:t>
      </w:r>
    </w:p>
    <w:p w:rsidR="00E36ACF"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4579CC">
        <w:rPr>
          <w:rFonts w:asciiTheme="minorHAnsi" w:hAnsiTheme="minorHAnsi" w:cstheme="minorHAnsi"/>
          <w:sz w:val="22"/>
        </w:rPr>
        <w:t xml:space="preserve">EVANS (D.S.) &amp; SCHMALENSEE (R.), “The antitrust analysis of multi-sided platform businesses” in BLAIR (R.) &amp; SOKOL (D.) (eds.), </w:t>
      </w:r>
      <w:r w:rsidRPr="004579CC">
        <w:rPr>
          <w:rFonts w:asciiTheme="minorHAnsi" w:hAnsiTheme="minorHAnsi" w:cstheme="minorHAnsi"/>
          <w:i/>
          <w:sz w:val="22"/>
        </w:rPr>
        <w:t>Oxford Handbook on International Antitrust Economics</w:t>
      </w:r>
      <w:r w:rsidRPr="004579CC">
        <w:rPr>
          <w:rFonts w:asciiTheme="minorHAnsi" w:hAnsiTheme="minorHAnsi" w:cstheme="minorHAnsi"/>
          <w:sz w:val="22"/>
        </w:rPr>
        <w:t xml:space="preserve"> (Oxford, UK: Oxford University Press, 2014). Available at</w:t>
      </w: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4579CC">
        <w:rPr>
          <w:rFonts w:asciiTheme="minorHAnsi" w:hAnsiTheme="minorHAnsi" w:cstheme="minorHAnsi"/>
          <w:sz w:val="22"/>
        </w:rPr>
        <w:t>http://papers.ssrn.com/sol3/papers.cfm?abstract_id=2185373</w:t>
      </w: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4579CC">
        <w:rPr>
          <w:rFonts w:asciiTheme="minorHAnsi" w:hAnsiTheme="minorHAnsi" w:cstheme="minorHAnsi"/>
          <w:sz w:val="22"/>
        </w:rPr>
        <w:t xml:space="preserve">MALIN (E.) &amp; PÉNARD (T.), </w:t>
      </w:r>
      <w:r w:rsidRPr="004579CC">
        <w:rPr>
          <w:rFonts w:asciiTheme="minorHAnsi" w:hAnsiTheme="minorHAnsi" w:cstheme="minorHAnsi"/>
          <w:i/>
          <w:sz w:val="22"/>
        </w:rPr>
        <w:t>Économie du numérique et de l’Internet</w:t>
      </w:r>
      <w:r w:rsidRPr="004579CC">
        <w:rPr>
          <w:rFonts w:asciiTheme="minorHAnsi" w:hAnsiTheme="minorHAnsi" w:cstheme="minorHAnsi"/>
          <w:sz w:val="22"/>
        </w:rPr>
        <w:t xml:space="preserve"> (Paris: Vuibert, 2010).</w:t>
      </w: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E36ACF"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4579CC">
        <w:rPr>
          <w:rFonts w:asciiTheme="minorHAnsi" w:hAnsiTheme="minorHAnsi" w:cstheme="minorHAnsi"/>
          <w:sz w:val="22"/>
        </w:rPr>
        <w:t xml:space="preserve">OECD, </w:t>
      </w:r>
      <w:r w:rsidRPr="004579CC">
        <w:rPr>
          <w:rFonts w:asciiTheme="minorHAnsi" w:hAnsiTheme="minorHAnsi" w:cstheme="minorHAnsi"/>
          <w:i/>
          <w:sz w:val="22"/>
        </w:rPr>
        <w:t>OECD Council Recommendation on Principles for Internet Policy-Making</w:t>
      </w:r>
      <w:r w:rsidRPr="004579CC">
        <w:rPr>
          <w:rFonts w:asciiTheme="minorHAnsi" w:hAnsiTheme="minorHAnsi" w:cstheme="minorHAnsi"/>
          <w:sz w:val="22"/>
        </w:rPr>
        <w:t>; 13</w:t>
      </w:r>
      <w:r w:rsidR="00E36ACF" w:rsidRPr="004579CC">
        <w:rPr>
          <w:rFonts w:asciiTheme="minorHAnsi" w:hAnsiTheme="minorHAnsi" w:cstheme="minorHAnsi"/>
          <w:sz w:val="22"/>
        </w:rPr>
        <w:t> </w:t>
      </w:r>
      <w:r w:rsidRPr="004579CC">
        <w:rPr>
          <w:rFonts w:asciiTheme="minorHAnsi" w:hAnsiTheme="minorHAnsi" w:cstheme="minorHAnsi"/>
          <w:sz w:val="22"/>
        </w:rPr>
        <w:t>December 201. Available at</w:t>
      </w: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4579CC">
        <w:rPr>
          <w:rFonts w:asciiTheme="minorHAnsi" w:hAnsiTheme="minorHAnsi" w:cstheme="minorHAnsi"/>
          <w:sz w:val="22"/>
        </w:rPr>
        <w:t>https://www.oecd.org/internet/ieconomy/49258588.pdf</w:t>
      </w: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E36ACF"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4579CC">
        <w:rPr>
          <w:rFonts w:asciiTheme="minorHAnsi" w:hAnsiTheme="minorHAnsi" w:cstheme="minorHAnsi"/>
          <w:sz w:val="22"/>
        </w:rPr>
        <w:t xml:space="preserve">OECD, </w:t>
      </w:r>
      <w:r w:rsidRPr="004579CC">
        <w:rPr>
          <w:rFonts w:asciiTheme="minorHAnsi" w:hAnsiTheme="minorHAnsi" w:cstheme="minorHAnsi"/>
          <w:i/>
          <w:sz w:val="22"/>
        </w:rPr>
        <w:t>Recommendation of the Council on Regulatory Policy and Governance</w:t>
      </w:r>
      <w:r w:rsidRPr="004579CC">
        <w:rPr>
          <w:rFonts w:asciiTheme="minorHAnsi" w:hAnsiTheme="minorHAnsi" w:cstheme="minorHAnsi"/>
          <w:sz w:val="22"/>
        </w:rPr>
        <w:t>, 22 March 2012. Available via:</w:t>
      </w: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4579CC">
        <w:rPr>
          <w:rFonts w:asciiTheme="minorHAnsi" w:hAnsiTheme="minorHAnsi" w:cstheme="minorHAnsi"/>
          <w:sz w:val="22"/>
        </w:rPr>
        <w:t>http://www.oecd.org/governance/regulatory-policy/2012-recommendation.htm</w:t>
      </w: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4579CC">
        <w:rPr>
          <w:rFonts w:asciiTheme="minorHAnsi" w:hAnsiTheme="minorHAnsi" w:cstheme="minorHAnsi"/>
          <w:sz w:val="22"/>
        </w:rPr>
        <w:t xml:space="preserve">RENDA (A.), SCHREFLER (L.), LUCHETTA (G.) &amp; ZAVATTA (R.), </w:t>
      </w:r>
      <w:r w:rsidRPr="004579CC">
        <w:rPr>
          <w:rFonts w:asciiTheme="minorHAnsi" w:hAnsiTheme="minorHAnsi" w:cstheme="minorHAnsi"/>
          <w:i/>
          <w:sz w:val="22"/>
        </w:rPr>
        <w:t>Assessing the Costs and Benefits of Regulation, Study for the European Commission, Secretariat General</w:t>
      </w:r>
      <w:r w:rsidRPr="004579CC">
        <w:rPr>
          <w:rFonts w:asciiTheme="minorHAnsi" w:hAnsiTheme="minorHAnsi" w:cstheme="minorHAnsi"/>
          <w:sz w:val="22"/>
        </w:rPr>
        <w:t>, Brussels, 10 December 2013.</w:t>
      </w: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4579CC">
        <w:rPr>
          <w:rFonts w:asciiTheme="minorHAnsi" w:hAnsiTheme="minorHAnsi" w:cstheme="minorHAnsi"/>
          <w:sz w:val="22"/>
        </w:rPr>
        <w:t xml:space="preserve">ROCHET (J.C.) &amp; TIROLE (J.), “Platform competition in two-sided markets”, </w:t>
      </w:r>
      <w:r w:rsidRPr="004579CC">
        <w:rPr>
          <w:rFonts w:asciiTheme="minorHAnsi" w:hAnsiTheme="minorHAnsi" w:cstheme="minorHAnsi"/>
          <w:i/>
          <w:sz w:val="22"/>
        </w:rPr>
        <w:t>Journal of the European Economic Association</w:t>
      </w:r>
      <w:r w:rsidRPr="004579CC">
        <w:rPr>
          <w:rFonts w:asciiTheme="minorHAnsi" w:hAnsiTheme="minorHAnsi" w:cstheme="minorHAnsi"/>
          <w:sz w:val="22"/>
        </w:rPr>
        <w:t>, 1, pp.990-1029, 2003.</w:t>
      </w: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4579CC">
        <w:rPr>
          <w:rFonts w:asciiTheme="minorHAnsi" w:hAnsiTheme="minorHAnsi" w:cstheme="minorHAnsi"/>
          <w:sz w:val="22"/>
        </w:rPr>
        <w:t xml:space="preserve">ROCHET (J.C.) &amp; TIROLE (J.), “Two-sided markets: A progress report”, </w:t>
      </w:r>
      <w:r w:rsidRPr="004579CC">
        <w:rPr>
          <w:rFonts w:asciiTheme="minorHAnsi" w:hAnsiTheme="minorHAnsi" w:cstheme="minorHAnsi"/>
          <w:i/>
          <w:sz w:val="22"/>
        </w:rPr>
        <w:t>Rand Journal of Economics</w:t>
      </w:r>
      <w:r w:rsidRPr="004579CC">
        <w:rPr>
          <w:rFonts w:asciiTheme="minorHAnsi" w:hAnsiTheme="minorHAnsi" w:cstheme="minorHAnsi"/>
          <w:sz w:val="22"/>
        </w:rPr>
        <w:t>, 37, pp. 645-667, 2006.</w:t>
      </w: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4579CC">
        <w:rPr>
          <w:rFonts w:asciiTheme="minorHAnsi" w:hAnsiTheme="minorHAnsi" w:cstheme="minorHAnsi"/>
          <w:sz w:val="22"/>
        </w:rPr>
        <w:t xml:space="preserve">SCHULTZ (T.), “Carving up the Internet: Jurisdiction, legal orders, and the private/public international law interface”, </w:t>
      </w:r>
      <w:r w:rsidRPr="004579CC">
        <w:rPr>
          <w:rFonts w:asciiTheme="minorHAnsi" w:hAnsiTheme="minorHAnsi" w:cstheme="minorHAnsi"/>
          <w:i/>
          <w:sz w:val="22"/>
        </w:rPr>
        <w:t>European Journal of International Law</w:t>
      </w:r>
      <w:r w:rsidRPr="004579CC">
        <w:rPr>
          <w:rFonts w:asciiTheme="minorHAnsi" w:hAnsiTheme="minorHAnsi" w:cstheme="minorHAnsi"/>
          <w:sz w:val="22"/>
        </w:rPr>
        <w:t>, 19, pp.799-839, 2008.</w:t>
      </w: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4579CC">
        <w:rPr>
          <w:rFonts w:asciiTheme="minorHAnsi" w:hAnsiTheme="minorHAnsi" w:cstheme="minorHAnsi"/>
          <w:sz w:val="22"/>
        </w:rPr>
        <w:t xml:space="preserve">SHAPIRO (C.) &amp; VARIAN (H.), </w:t>
      </w:r>
      <w:r w:rsidRPr="004579CC">
        <w:rPr>
          <w:rFonts w:asciiTheme="minorHAnsi" w:hAnsiTheme="minorHAnsi" w:cstheme="minorHAnsi"/>
          <w:i/>
          <w:sz w:val="22"/>
        </w:rPr>
        <w:t>Information Rules: A Strategic Guide to the Network Economics</w:t>
      </w:r>
      <w:r w:rsidRPr="004579CC">
        <w:rPr>
          <w:rFonts w:asciiTheme="minorHAnsi" w:hAnsiTheme="minorHAnsi" w:cstheme="minorHAnsi"/>
          <w:sz w:val="22"/>
        </w:rPr>
        <w:t xml:space="preserve"> (Boston, MA: Harvard Business School Press, 1998.</w:t>
      </w: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4579CC">
        <w:rPr>
          <w:rFonts w:asciiTheme="minorHAnsi" w:hAnsiTheme="minorHAnsi" w:cstheme="minorHAnsi"/>
          <w:sz w:val="22"/>
        </w:rPr>
        <w:t xml:space="preserve">SHELANSKI (H.A.), “Information, innovation, and competition policy for the Internet”, </w:t>
      </w:r>
      <w:r w:rsidRPr="004579CC">
        <w:rPr>
          <w:rFonts w:asciiTheme="minorHAnsi" w:hAnsiTheme="minorHAnsi" w:cstheme="minorHAnsi"/>
          <w:i/>
          <w:sz w:val="22"/>
        </w:rPr>
        <w:t>University of Pennsylvania Law Review</w:t>
      </w:r>
      <w:r w:rsidRPr="004579CC">
        <w:rPr>
          <w:rFonts w:asciiTheme="minorHAnsi" w:hAnsiTheme="minorHAnsi" w:cstheme="minorHAnsi"/>
          <w:sz w:val="22"/>
        </w:rPr>
        <w:t>, 161, pp.1663-1705, 2013.</w:t>
      </w: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4579CC">
        <w:rPr>
          <w:rFonts w:asciiTheme="minorHAnsi" w:hAnsiTheme="minorHAnsi" w:cstheme="minorHAnsi"/>
          <w:sz w:val="22"/>
        </w:rPr>
        <w:t xml:space="preserve">SUNSTEIN (C.R.), “On the expressive function of law”, </w:t>
      </w:r>
      <w:r w:rsidRPr="004579CC">
        <w:rPr>
          <w:rFonts w:asciiTheme="minorHAnsi" w:hAnsiTheme="minorHAnsi" w:cstheme="minorHAnsi"/>
          <w:i/>
          <w:sz w:val="22"/>
        </w:rPr>
        <w:t>University of Pennsylvania Law Review</w:t>
      </w:r>
      <w:r w:rsidRPr="004579CC">
        <w:rPr>
          <w:rFonts w:asciiTheme="minorHAnsi" w:hAnsiTheme="minorHAnsi" w:cstheme="minorHAnsi"/>
          <w:sz w:val="22"/>
        </w:rPr>
        <w:t>, 144, pp.2021-2053, 1996.</w:t>
      </w: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A1536A" w:rsidRPr="004579CC" w:rsidRDefault="00A1536A" w:rsidP="00316BDA">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4579CC">
        <w:rPr>
          <w:rFonts w:asciiTheme="minorHAnsi" w:hAnsiTheme="minorHAnsi" w:cstheme="minorHAnsi"/>
          <w:sz w:val="22"/>
        </w:rPr>
        <w:t xml:space="preserve">SUNSTEIN (C.R.), </w:t>
      </w:r>
      <w:r w:rsidRPr="004579CC">
        <w:rPr>
          <w:rFonts w:asciiTheme="minorHAnsi" w:hAnsiTheme="minorHAnsi" w:cstheme="minorHAnsi"/>
          <w:i/>
          <w:sz w:val="22"/>
        </w:rPr>
        <w:t>Laws of Fear: Beyond the Precautionary Principle</w:t>
      </w:r>
      <w:r w:rsidRPr="004579CC">
        <w:rPr>
          <w:rFonts w:asciiTheme="minorHAnsi" w:hAnsiTheme="minorHAnsi" w:cstheme="minorHAnsi"/>
          <w:sz w:val="22"/>
        </w:rPr>
        <w:t xml:space="preserve"> (Cambridge, UK: Cambridge University Press, 2005).</w:t>
      </w:r>
    </w:p>
    <w:sectPr w:rsidR="00A1536A" w:rsidRPr="004579CC" w:rsidSect="004579CC">
      <w:headerReference w:type="even" r:id="rId8"/>
      <w:headerReference w:type="default" r:id="rId9"/>
      <w:footerReference w:type="even" r:id="rId10"/>
      <w:footerReference w:type="default" r:id="rId11"/>
      <w:pgSz w:w="11906" w:h="16838"/>
      <w:pgMar w:top="1418" w:right="1418" w:bottom="1418" w:left="1418" w:header="113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5B8" w:rsidRDefault="002105B8" w:rsidP="00316BDA">
      <w:r>
        <w:separator/>
      </w:r>
    </w:p>
  </w:endnote>
  <w:endnote w:type="continuationSeparator" w:id="0">
    <w:p w:rsidR="002105B8" w:rsidRDefault="002105B8" w:rsidP="00316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DF0" w:rsidRDefault="002105B8">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BDA" w:rsidRDefault="00316BDA" w:rsidP="00316BDA">
    <w:pPr>
      <w:pStyle w:val="Pieddepage"/>
      <w:jc w:val="right"/>
      <w:rPr>
        <w:b/>
        <w:color w:val="E20936"/>
        <w:sz w:val="22"/>
        <w:szCs w:val="22"/>
      </w:rPr>
    </w:pPr>
  </w:p>
  <w:p w:rsidR="00F81DF0" w:rsidRPr="004579CC" w:rsidRDefault="00316BDA" w:rsidP="00316BDA">
    <w:pPr>
      <w:pStyle w:val="Pieddepage"/>
      <w:jc w:val="right"/>
      <w:rPr>
        <w:rFonts w:asciiTheme="minorHAnsi" w:hAnsiTheme="minorHAnsi" w:cstheme="minorHAnsi"/>
      </w:rPr>
    </w:pPr>
    <w:r w:rsidRPr="004579CC">
      <w:rPr>
        <w:rFonts w:asciiTheme="minorHAnsi" w:hAnsiTheme="minorHAnsi" w:cstheme="minorHAnsi"/>
        <w:color w:val="E20936"/>
        <w:sz w:val="22"/>
        <w:szCs w:val="22"/>
      </w:rPr>
      <w:t xml:space="preserve">Réalités Industrielles – August 2016- </w:t>
    </w:r>
    <w:r w:rsidRPr="004579CC">
      <w:rPr>
        <w:rFonts w:asciiTheme="minorHAnsi" w:hAnsiTheme="minorHAnsi" w:cstheme="minorHAnsi"/>
        <w:color w:val="E20936"/>
        <w:sz w:val="22"/>
        <w:szCs w:val="22"/>
      </w:rPr>
      <w:fldChar w:fldCharType="begin"/>
    </w:r>
    <w:r w:rsidRPr="004579CC">
      <w:rPr>
        <w:rFonts w:asciiTheme="minorHAnsi" w:hAnsiTheme="minorHAnsi" w:cstheme="minorHAnsi"/>
        <w:color w:val="E20936"/>
        <w:sz w:val="22"/>
        <w:szCs w:val="22"/>
      </w:rPr>
      <w:instrText>PAGE   \* MERGEFORMAT</w:instrText>
    </w:r>
    <w:r w:rsidRPr="004579CC">
      <w:rPr>
        <w:rFonts w:asciiTheme="minorHAnsi" w:hAnsiTheme="minorHAnsi" w:cstheme="minorHAnsi"/>
        <w:color w:val="E20936"/>
        <w:sz w:val="22"/>
        <w:szCs w:val="22"/>
      </w:rPr>
      <w:fldChar w:fldCharType="separate"/>
    </w:r>
    <w:r w:rsidR="002105B8">
      <w:rPr>
        <w:rFonts w:asciiTheme="minorHAnsi" w:hAnsiTheme="minorHAnsi" w:cstheme="minorHAnsi"/>
        <w:noProof/>
        <w:color w:val="E20936"/>
        <w:sz w:val="22"/>
        <w:szCs w:val="22"/>
      </w:rPr>
      <w:t>1</w:t>
    </w:r>
    <w:r w:rsidRPr="004579CC">
      <w:rPr>
        <w:rFonts w:asciiTheme="minorHAnsi" w:hAnsiTheme="minorHAnsi" w:cstheme="minorHAnsi"/>
        <w:color w:val="E20936"/>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5B8" w:rsidRDefault="002105B8" w:rsidP="00316BDA">
      <w:r>
        <w:separator/>
      </w:r>
    </w:p>
  </w:footnote>
  <w:footnote w:type="continuationSeparator" w:id="0">
    <w:p w:rsidR="002105B8" w:rsidRDefault="002105B8" w:rsidP="00316BDA">
      <w:r>
        <w:continuationSeparator/>
      </w:r>
    </w:p>
  </w:footnote>
  <w:footnote w:id="1">
    <w:p w:rsidR="00F6188B" w:rsidRPr="00F6188B" w:rsidRDefault="00F6188B" w:rsidP="00F6188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Arial" w:hAnsi="Arial"/>
          <w:sz w:val="22"/>
        </w:rPr>
      </w:pPr>
      <w:r>
        <w:rPr>
          <w:rStyle w:val="Appelnotedebasdep"/>
        </w:rPr>
        <w:footnoteRef/>
      </w:r>
      <w:r>
        <w:t xml:space="preserve"> </w:t>
      </w:r>
      <w:r>
        <w:rPr>
          <w:rFonts w:ascii="Arial" w:hAnsi="Arial"/>
          <w:sz w:val="22"/>
        </w:rPr>
        <w:t>Article translated from French by Noal Mellott (Omaha Beach, France). References and points of information have been updated for this translation.</w:t>
      </w:r>
    </w:p>
  </w:footnote>
  <w:footnote w:id="2">
    <w:p w:rsidR="004579CC" w:rsidRDefault="00F6188B" w:rsidP="00F6188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16"/>
          <w:szCs w:val="16"/>
        </w:rPr>
      </w:pPr>
      <w:r w:rsidRPr="004579CC">
        <w:rPr>
          <w:rStyle w:val="Appelnotedebasdep"/>
          <w:rFonts w:ascii="Calibri" w:hAnsi="Calibri" w:cs="Calibri"/>
          <w:sz w:val="16"/>
          <w:szCs w:val="16"/>
        </w:rPr>
        <w:footnoteRef/>
      </w:r>
      <w:r w:rsidRPr="004579CC">
        <w:rPr>
          <w:rFonts w:ascii="Calibri" w:hAnsi="Calibri" w:cs="Calibri"/>
          <w:sz w:val="16"/>
          <w:szCs w:val="16"/>
        </w:rPr>
        <w:t xml:space="preserve"> Lemaire Act on a Digital Republic: Loi n° 2016-1321 du 7 octobre 2016 pour une République numérique, </w:t>
      </w:r>
      <w:r w:rsidRPr="004579CC">
        <w:rPr>
          <w:rFonts w:ascii="Calibri" w:hAnsi="Calibri" w:cs="Calibri"/>
          <w:i/>
          <w:sz w:val="16"/>
          <w:szCs w:val="16"/>
        </w:rPr>
        <w:t>Journal officielle</w:t>
      </w:r>
      <w:r w:rsidRPr="004579CC">
        <w:rPr>
          <w:rFonts w:ascii="Calibri" w:hAnsi="Calibri" w:cs="Calibri"/>
          <w:sz w:val="16"/>
          <w:szCs w:val="16"/>
        </w:rPr>
        <w:t>, 235, 8 October 2016. Available at:</w:t>
      </w:r>
    </w:p>
    <w:p w:rsidR="00F6188B" w:rsidRPr="004579CC" w:rsidRDefault="00F6188B" w:rsidP="00F6188B">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16"/>
          <w:szCs w:val="16"/>
        </w:rPr>
      </w:pPr>
      <w:r w:rsidRPr="004579CC">
        <w:rPr>
          <w:rFonts w:ascii="Calibri" w:hAnsi="Calibri" w:cs="Calibri"/>
          <w:sz w:val="16"/>
          <w:szCs w:val="16"/>
        </w:rPr>
        <w:t>https://www.legifrance.gouv.fr/affichTexte.do;jsessionid=93D0CE3168F6783F5F64419E5328D436.tpdila14v_1?cidTexte=JORFTEXT000033202746&amp;categorieLien=idea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DF0" w:rsidRDefault="00463F62">
    <w:pPr>
      <w:framePr w:w="9026" w:h="280" w:hRule="exact" w:wrap="notBeside" w:vAnchor="page" w:hAnchor="text" w:y="846"/>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spacing w:line="240" w:lineRule="atLeast"/>
      <w:jc w:val="right"/>
      <w:rPr>
        <w:vanish/>
      </w:rPr>
    </w:pPr>
    <w:r>
      <w:rPr>
        <w:rFonts w:ascii="Arial" w:hAnsi="Arial"/>
      </w:rPr>
      <w:pgNum/>
    </w:r>
  </w:p>
  <w:p w:rsidR="00F81DF0" w:rsidRDefault="002105B8">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DF0" w:rsidRDefault="002105B8">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36A"/>
    <w:rsid w:val="00027A49"/>
    <w:rsid w:val="00046FFE"/>
    <w:rsid w:val="000706C5"/>
    <w:rsid w:val="000D1502"/>
    <w:rsid w:val="00165EF3"/>
    <w:rsid w:val="00184F7F"/>
    <w:rsid w:val="001A0AD8"/>
    <w:rsid w:val="002030D1"/>
    <w:rsid w:val="002105B8"/>
    <w:rsid w:val="00256BE4"/>
    <w:rsid w:val="00287B8B"/>
    <w:rsid w:val="00290A87"/>
    <w:rsid w:val="002A1176"/>
    <w:rsid w:val="002E5621"/>
    <w:rsid w:val="00316BDA"/>
    <w:rsid w:val="00332BB8"/>
    <w:rsid w:val="00363C02"/>
    <w:rsid w:val="00397BD0"/>
    <w:rsid w:val="00437E18"/>
    <w:rsid w:val="004579CC"/>
    <w:rsid w:val="00462DEA"/>
    <w:rsid w:val="00463F62"/>
    <w:rsid w:val="0049098A"/>
    <w:rsid w:val="004A6180"/>
    <w:rsid w:val="004C0B38"/>
    <w:rsid w:val="004F054B"/>
    <w:rsid w:val="004F4401"/>
    <w:rsid w:val="00503949"/>
    <w:rsid w:val="005039F6"/>
    <w:rsid w:val="005112B9"/>
    <w:rsid w:val="00585ACD"/>
    <w:rsid w:val="00605F8E"/>
    <w:rsid w:val="006326DD"/>
    <w:rsid w:val="00644321"/>
    <w:rsid w:val="00652C45"/>
    <w:rsid w:val="0068286D"/>
    <w:rsid w:val="006B51C8"/>
    <w:rsid w:val="006C2D9F"/>
    <w:rsid w:val="006C6E8B"/>
    <w:rsid w:val="006E489A"/>
    <w:rsid w:val="006F4758"/>
    <w:rsid w:val="00710BD0"/>
    <w:rsid w:val="007127BF"/>
    <w:rsid w:val="00750901"/>
    <w:rsid w:val="007823EB"/>
    <w:rsid w:val="0078538F"/>
    <w:rsid w:val="00787048"/>
    <w:rsid w:val="007A0AEB"/>
    <w:rsid w:val="00804E78"/>
    <w:rsid w:val="008D7CBC"/>
    <w:rsid w:val="008E1E54"/>
    <w:rsid w:val="00940CDB"/>
    <w:rsid w:val="009414E5"/>
    <w:rsid w:val="00946EEC"/>
    <w:rsid w:val="00960332"/>
    <w:rsid w:val="009C5DDD"/>
    <w:rsid w:val="009D5EA4"/>
    <w:rsid w:val="009F7022"/>
    <w:rsid w:val="00A12B35"/>
    <w:rsid w:val="00A1536A"/>
    <w:rsid w:val="00A43971"/>
    <w:rsid w:val="00A63AD7"/>
    <w:rsid w:val="00A740BA"/>
    <w:rsid w:val="00A77ED5"/>
    <w:rsid w:val="00AB3587"/>
    <w:rsid w:val="00AB5B1F"/>
    <w:rsid w:val="00AC304E"/>
    <w:rsid w:val="00AD2238"/>
    <w:rsid w:val="00B11D88"/>
    <w:rsid w:val="00B131F6"/>
    <w:rsid w:val="00B80341"/>
    <w:rsid w:val="00B86721"/>
    <w:rsid w:val="00B9261B"/>
    <w:rsid w:val="00B9711D"/>
    <w:rsid w:val="00BA5325"/>
    <w:rsid w:val="00BD05DE"/>
    <w:rsid w:val="00C66D0D"/>
    <w:rsid w:val="00C77FA1"/>
    <w:rsid w:val="00C86B2F"/>
    <w:rsid w:val="00CB3C8F"/>
    <w:rsid w:val="00CC7651"/>
    <w:rsid w:val="00D0312A"/>
    <w:rsid w:val="00D2605D"/>
    <w:rsid w:val="00D875F2"/>
    <w:rsid w:val="00DB3DFE"/>
    <w:rsid w:val="00DC042F"/>
    <w:rsid w:val="00DD1D64"/>
    <w:rsid w:val="00DD7365"/>
    <w:rsid w:val="00E0440D"/>
    <w:rsid w:val="00E14F6D"/>
    <w:rsid w:val="00E36ACF"/>
    <w:rsid w:val="00E422A3"/>
    <w:rsid w:val="00E46423"/>
    <w:rsid w:val="00EB3FA7"/>
    <w:rsid w:val="00ED1C9A"/>
    <w:rsid w:val="00F274F7"/>
    <w:rsid w:val="00F54185"/>
    <w:rsid w:val="00F6188B"/>
    <w:rsid w:val="00FA5544"/>
    <w:rsid w:val="00FB2B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36A"/>
    <w:rPr>
      <w:rFonts w:ascii="Times New Roman" w:eastAsia="Times New Roman" w:hAnsi="Times New Roman"/>
      <w:sz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rticleTit1">
    <w:name w:val="ArticleTit1"/>
    <w:basedOn w:val="Normal"/>
    <w:rsid w:val="00A1536A"/>
    <w:pPr>
      <w:widowControl w:val="0"/>
    </w:pPr>
    <w:rPr>
      <w:b/>
      <w:sz w:val="36"/>
      <w:u w:val="single"/>
    </w:rPr>
  </w:style>
  <w:style w:type="paragraph" w:customStyle="1" w:styleId="Heading0">
    <w:name w:val="Heading0"/>
    <w:basedOn w:val="Normal"/>
    <w:rsid w:val="00A1536A"/>
    <w:pPr>
      <w:widowControl w:val="0"/>
      <w:spacing w:after="20"/>
      <w:jc w:val="center"/>
    </w:pPr>
    <w:rPr>
      <w:b/>
      <w:sz w:val="36"/>
    </w:rPr>
  </w:style>
  <w:style w:type="character" w:customStyle="1" w:styleId="LineTight">
    <w:name w:val="LineTight"/>
    <w:rsid w:val="00A1536A"/>
    <w:rPr>
      <w:rFonts w:cs="Times New Roman"/>
    </w:rPr>
  </w:style>
  <w:style w:type="character" w:customStyle="1" w:styleId="Redline">
    <w:name w:val="Redline"/>
    <w:rsid w:val="00A1536A"/>
    <w:rPr>
      <w:u w:val="single"/>
    </w:rPr>
  </w:style>
  <w:style w:type="character" w:customStyle="1" w:styleId="XOut">
    <w:name w:val="XOut"/>
    <w:rsid w:val="00A1536A"/>
    <w:rPr>
      <w:strike/>
    </w:rPr>
  </w:style>
  <w:style w:type="paragraph" w:styleId="En-tte">
    <w:name w:val="header"/>
    <w:basedOn w:val="Normal"/>
    <w:link w:val="En-tteCar"/>
    <w:uiPriority w:val="99"/>
    <w:unhideWhenUsed/>
    <w:rsid w:val="00316BDA"/>
    <w:pPr>
      <w:tabs>
        <w:tab w:val="center" w:pos="4536"/>
        <w:tab w:val="right" w:pos="9072"/>
      </w:tabs>
    </w:pPr>
  </w:style>
  <w:style w:type="character" w:customStyle="1" w:styleId="En-tteCar">
    <w:name w:val="En-tête Car"/>
    <w:basedOn w:val="Policepardfaut"/>
    <w:link w:val="En-tte"/>
    <w:uiPriority w:val="99"/>
    <w:rsid w:val="00316BDA"/>
    <w:rPr>
      <w:rFonts w:ascii="Times New Roman" w:eastAsia="Times New Roman" w:hAnsi="Times New Roman"/>
      <w:sz w:val="24"/>
      <w:lang w:val="en-US"/>
    </w:rPr>
  </w:style>
  <w:style w:type="paragraph" w:styleId="Pieddepage">
    <w:name w:val="footer"/>
    <w:basedOn w:val="Normal"/>
    <w:link w:val="PieddepageCar"/>
    <w:uiPriority w:val="99"/>
    <w:unhideWhenUsed/>
    <w:rsid w:val="00316BDA"/>
    <w:pPr>
      <w:tabs>
        <w:tab w:val="center" w:pos="4536"/>
        <w:tab w:val="right" w:pos="9072"/>
      </w:tabs>
    </w:pPr>
  </w:style>
  <w:style w:type="character" w:customStyle="1" w:styleId="PieddepageCar">
    <w:name w:val="Pied de page Car"/>
    <w:basedOn w:val="Policepardfaut"/>
    <w:link w:val="Pieddepage"/>
    <w:uiPriority w:val="99"/>
    <w:rsid w:val="00316BDA"/>
    <w:rPr>
      <w:rFonts w:ascii="Times New Roman" w:eastAsia="Times New Roman" w:hAnsi="Times New Roman"/>
      <w:sz w:val="24"/>
      <w:lang w:val="en-US"/>
    </w:rPr>
  </w:style>
  <w:style w:type="paragraph" w:styleId="Notedebasdepage">
    <w:name w:val="footnote text"/>
    <w:basedOn w:val="Normal"/>
    <w:link w:val="NotedebasdepageCar"/>
    <w:uiPriority w:val="99"/>
    <w:semiHidden/>
    <w:unhideWhenUsed/>
    <w:rsid w:val="00F6188B"/>
    <w:rPr>
      <w:sz w:val="20"/>
    </w:rPr>
  </w:style>
  <w:style w:type="character" w:customStyle="1" w:styleId="NotedebasdepageCar">
    <w:name w:val="Note de bas de page Car"/>
    <w:basedOn w:val="Policepardfaut"/>
    <w:link w:val="Notedebasdepage"/>
    <w:uiPriority w:val="99"/>
    <w:semiHidden/>
    <w:rsid w:val="00F6188B"/>
    <w:rPr>
      <w:rFonts w:ascii="Times New Roman" w:eastAsia="Times New Roman" w:hAnsi="Times New Roman"/>
      <w:lang w:val="en-US"/>
    </w:rPr>
  </w:style>
  <w:style w:type="character" w:styleId="Appelnotedebasdep">
    <w:name w:val="footnote reference"/>
    <w:basedOn w:val="Policepardfaut"/>
    <w:uiPriority w:val="99"/>
    <w:semiHidden/>
    <w:unhideWhenUsed/>
    <w:rsid w:val="00F6188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36A"/>
    <w:rPr>
      <w:rFonts w:ascii="Times New Roman" w:eastAsia="Times New Roman" w:hAnsi="Times New Roman"/>
      <w:sz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rticleTit1">
    <w:name w:val="ArticleTit1"/>
    <w:basedOn w:val="Normal"/>
    <w:rsid w:val="00A1536A"/>
    <w:pPr>
      <w:widowControl w:val="0"/>
    </w:pPr>
    <w:rPr>
      <w:b/>
      <w:sz w:val="36"/>
      <w:u w:val="single"/>
    </w:rPr>
  </w:style>
  <w:style w:type="paragraph" w:customStyle="1" w:styleId="Heading0">
    <w:name w:val="Heading0"/>
    <w:basedOn w:val="Normal"/>
    <w:rsid w:val="00A1536A"/>
    <w:pPr>
      <w:widowControl w:val="0"/>
      <w:spacing w:after="20"/>
      <w:jc w:val="center"/>
    </w:pPr>
    <w:rPr>
      <w:b/>
      <w:sz w:val="36"/>
    </w:rPr>
  </w:style>
  <w:style w:type="character" w:customStyle="1" w:styleId="LineTight">
    <w:name w:val="LineTight"/>
    <w:rsid w:val="00A1536A"/>
    <w:rPr>
      <w:rFonts w:cs="Times New Roman"/>
    </w:rPr>
  </w:style>
  <w:style w:type="character" w:customStyle="1" w:styleId="Redline">
    <w:name w:val="Redline"/>
    <w:rsid w:val="00A1536A"/>
    <w:rPr>
      <w:u w:val="single"/>
    </w:rPr>
  </w:style>
  <w:style w:type="character" w:customStyle="1" w:styleId="XOut">
    <w:name w:val="XOut"/>
    <w:rsid w:val="00A1536A"/>
    <w:rPr>
      <w:strike/>
    </w:rPr>
  </w:style>
  <w:style w:type="paragraph" w:styleId="En-tte">
    <w:name w:val="header"/>
    <w:basedOn w:val="Normal"/>
    <w:link w:val="En-tteCar"/>
    <w:uiPriority w:val="99"/>
    <w:unhideWhenUsed/>
    <w:rsid w:val="00316BDA"/>
    <w:pPr>
      <w:tabs>
        <w:tab w:val="center" w:pos="4536"/>
        <w:tab w:val="right" w:pos="9072"/>
      </w:tabs>
    </w:pPr>
  </w:style>
  <w:style w:type="character" w:customStyle="1" w:styleId="En-tteCar">
    <w:name w:val="En-tête Car"/>
    <w:basedOn w:val="Policepardfaut"/>
    <w:link w:val="En-tte"/>
    <w:uiPriority w:val="99"/>
    <w:rsid w:val="00316BDA"/>
    <w:rPr>
      <w:rFonts w:ascii="Times New Roman" w:eastAsia="Times New Roman" w:hAnsi="Times New Roman"/>
      <w:sz w:val="24"/>
      <w:lang w:val="en-US"/>
    </w:rPr>
  </w:style>
  <w:style w:type="paragraph" w:styleId="Pieddepage">
    <w:name w:val="footer"/>
    <w:basedOn w:val="Normal"/>
    <w:link w:val="PieddepageCar"/>
    <w:uiPriority w:val="99"/>
    <w:unhideWhenUsed/>
    <w:rsid w:val="00316BDA"/>
    <w:pPr>
      <w:tabs>
        <w:tab w:val="center" w:pos="4536"/>
        <w:tab w:val="right" w:pos="9072"/>
      </w:tabs>
    </w:pPr>
  </w:style>
  <w:style w:type="character" w:customStyle="1" w:styleId="PieddepageCar">
    <w:name w:val="Pied de page Car"/>
    <w:basedOn w:val="Policepardfaut"/>
    <w:link w:val="Pieddepage"/>
    <w:uiPriority w:val="99"/>
    <w:rsid w:val="00316BDA"/>
    <w:rPr>
      <w:rFonts w:ascii="Times New Roman" w:eastAsia="Times New Roman" w:hAnsi="Times New Roman"/>
      <w:sz w:val="24"/>
      <w:lang w:val="en-US"/>
    </w:rPr>
  </w:style>
  <w:style w:type="paragraph" w:styleId="Notedebasdepage">
    <w:name w:val="footnote text"/>
    <w:basedOn w:val="Normal"/>
    <w:link w:val="NotedebasdepageCar"/>
    <w:uiPriority w:val="99"/>
    <w:semiHidden/>
    <w:unhideWhenUsed/>
    <w:rsid w:val="00F6188B"/>
    <w:rPr>
      <w:sz w:val="20"/>
    </w:rPr>
  </w:style>
  <w:style w:type="character" w:customStyle="1" w:styleId="NotedebasdepageCar">
    <w:name w:val="Note de bas de page Car"/>
    <w:basedOn w:val="Policepardfaut"/>
    <w:link w:val="Notedebasdepage"/>
    <w:uiPriority w:val="99"/>
    <w:semiHidden/>
    <w:rsid w:val="00F6188B"/>
    <w:rPr>
      <w:rFonts w:ascii="Times New Roman" w:eastAsia="Times New Roman" w:hAnsi="Times New Roman"/>
      <w:lang w:val="en-US"/>
    </w:rPr>
  </w:style>
  <w:style w:type="character" w:styleId="Appelnotedebasdep">
    <w:name w:val="footnote reference"/>
    <w:basedOn w:val="Policepardfaut"/>
    <w:uiPriority w:val="99"/>
    <w:semiHidden/>
    <w:unhideWhenUsed/>
    <w:rsid w:val="00F618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B18BE-BBBA-44A5-B40C-0A9B5404E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3218</Words>
  <Characters>17700</Characters>
  <Application>Microsoft Office Word</Application>
  <DocSecurity>0</DocSecurity>
  <Lines>147</Lines>
  <Paragraphs>41</Paragraphs>
  <ScaleCrop>false</ScaleCrop>
  <Company/>
  <LinksUpToDate>false</LinksUpToDate>
  <CharactersWithSpaces>20877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Michaux</dc:creator>
  <cp:lastModifiedBy>Michaux</cp:lastModifiedBy>
  <cp:revision>6</cp:revision>
  <dcterms:created xsi:type="dcterms:W3CDTF">2017-01-17T10:24:00Z</dcterms:created>
  <dcterms:modified xsi:type="dcterms:W3CDTF">2017-01-19T10:14:00Z</dcterms:modified>
</cp:coreProperties>
</file>