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E9" w:rsidRPr="00060344" w:rsidRDefault="00FB75E9" w:rsidP="00FB75E9">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33"/>
        </w:rPr>
      </w:pPr>
      <w:r w:rsidRPr="00060344">
        <w:rPr>
          <w:rFonts w:asciiTheme="minorHAnsi" w:hAnsiTheme="minorHAnsi" w:cstheme="minorHAnsi"/>
          <w:sz w:val="33"/>
        </w:rPr>
        <w:t>How to regulate platforms?</w:t>
      </w:r>
    </w:p>
    <w:p w:rsidR="00FB75E9" w:rsidRPr="00060344" w:rsidRDefault="00FB75E9" w:rsidP="00FB75E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FB75E9" w:rsidRPr="00060344" w:rsidRDefault="00FB75E9" w:rsidP="00FB75E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060344">
        <w:rPr>
          <w:rFonts w:asciiTheme="minorHAnsi" w:hAnsiTheme="minorHAnsi" w:cstheme="minorHAnsi"/>
          <w:b/>
          <w:sz w:val="22"/>
        </w:rPr>
        <w:t>Sébastien Soriano</w:t>
      </w:r>
      <w:r w:rsidRPr="00060344">
        <w:rPr>
          <w:rFonts w:asciiTheme="minorHAnsi" w:hAnsiTheme="minorHAnsi" w:cstheme="minorHAnsi"/>
          <w:sz w:val="22"/>
        </w:rPr>
        <w:t>, chairman of the Autorité de Régulation des Communications Électroniques et des Postes (ARCEP)</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060344">
        <w:rPr>
          <w:rStyle w:val="LineTight"/>
          <w:rFonts w:asciiTheme="minorHAnsi" w:hAnsiTheme="minorHAnsi" w:cstheme="minorHAnsi"/>
          <w:b/>
          <w:sz w:val="22"/>
        </w:rPr>
        <w:t>For</w:t>
      </w:r>
      <w:r w:rsidRPr="00060344">
        <w:rPr>
          <w:rStyle w:val="LineTight"/>
          <w:rFonts w:asciiTheme="minorHAnsi" w:hAnsiTheme="minorHAnsi" w:cstheme="minorHAnsi"/>
          <w:sz w:val="22"/>
        </w:rPr>
        <w:t xml:space="preserve">: In Jean-Pierre Dardayrol (ed.) </w:t>
      </w:r>
      <w:r w:rsidRPr="00060344">
        <w:rPr>
          <w:rStyle w:val="LineTight"/>
          <w:rFonts w:asciiTheme="minorHAnsi" w:hAnsiTheme="minorHAnsi" w:cstheme="minorHAnsi"/>
          <w:i/>
          <w:sz w:val="22"/>
        </w:rPr>
        <w:t>The European digital union</w:t>
      </w:r>
      <w:r w:rsidRPr="00060344">
        <w:rPr>
          <w:rStyle w:val="LineTight"/>
          <w:rFonts w:asciiTheme="minorHAnsi" w:hAnsiTheme="minorHAnsi" w:cstheme="minorHAnsi"/>
          <w:sz w:val="22"/>
        </w:rPr>
        <w:t xml:space="preserve"> [special issue of </w:t>
      </w:r>
      <w:r w:rsidRPr="00060344">
        <w:rPr>
          <w:rStyle w:val="LineTight"/>
          <w:rFonts w:asciiTheme="minorHAnsi" w:hAnsiTheme="minorHAnsi" w:cstheme="minorHAnsi"/>
          <w:i/>
          <w:sz w:val="22"/>
        </w:rPr>
        <w:t>Réalités Industrielles</w:t>
      </w:r>
      <w:r w:rsidRPr="00060344">
        <w:rPr>
          <w:rStyle w:val="LineTight"/>
          <w:rFonts w:asciiTheme="minorHAnsi" w:hAnsiTheme="minorHAnsi" w:cstheme="minorHAnsi"/>
          <w:sz w:val="22"/>
        </w:rPr>
        <w:t xml:space="preserve">, August 2016] </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bookmarkStart w:id="0" w:name="AtStart"/>
      <w:bookmarkEnd w:id="0"/>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060344">
        <w:rPr>
          <w:rStyle w:val="LineTight"/>
          <w:rFonts w:asciiTheme="minorHAnsi" w:hAnsiTheme="minorHAnsi" w:cstheme="minorHAnsi"/>
          <w:b/>
          <w:i/>
          <w:sz w:val="22"/>
        </w:rPr>
        <w:t>Summary</w:t>
      </w:r>
      <w:r w:rsidRPr="00060344">
        <w:rPr>
          <w:rStyle w:val="LineTight"/>
          <w:rFonts w:asciiTheme="minorHAnsi" w:hAnsiTheme="minorHAnsi" w:cstheme="minorHAnsi"/>
          <w:sz w:val="22"/>
        </w:rPr>
        <w:t>:</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060344">
        <w:rPr>
          <w:rStyle w:val="LineTight"/>
          <w:rFonts w:asciiTheme="minorHAnsi" w:hAnsiTheme="minorHAnsi" w:cstheme="minorHAnsi"/>
          <w:sz w:val="22"/>
        </w:rPr>
        <w:t>Owing to its philosophy of total decentralization, the web (2.0 or even 3.0) has conquered the world and is in the hands of a few giant intermediaries. Thanks to their formidably efficient models of “disintermediation” (or rather “reintermediation”), on-line platforms are now the masters of the digital economy. The stakes are so high that a form of regulation is to be worked out. In a world market where innovations are accelerating (as in the digital economy), poorly designed regulations would come at too high a cost. How to co-construct new, agile forms of regulation? This is necessary for confidence to reign in a sector that is preparing the ground for tomorrow’s economy.</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810F0E" w:rsidRPr="00060344" w:rsidRDefault="00810F0E"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810F0E" w:rsidRPr="00060344" w:rsidRDefault="00810F0E"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 w:name="Generated_Bookmark1"/>
      <w:bookmarkEnd w:id="1"/>
      <w:r w:rsidRPr="00060344">
        <w:rPr>
          <w:rFonts w:asciiTheme="minorHAnsi" w:hAnsiTheme="minorHAnsi" w:cstheme="minorHAnsi"/>
          <w:sz w:val="33"/>
          <w:u w:val="single"/>
        </w:rPr>
        <w:t>A business model is “eating the world”</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2" w:name="Generated_Bookmark2"/>
      <w:bookmarkEnd w:id="2"/>
      <w:r w:rsidRPr="00060344">
        <w:rPr>
          <w:rFonts w:asciiTheme="minorHAnsi" w:hAnsiTheme="minorHAnsi" w:cstheme="minorHAnsi"/>
          <w:sz w:val="26"/>
        </w:rPr>
        <w:t>It all starts with a definition…</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 concept of a digital platform refers to a wide range of situations (search engines, appli stores, the “sharing economy”, etc.).</w:t>
      </w:r>
      <w:r w:rsidR="00A3496B" w:rsidRPr="00060344">
        <w:rPr>
          <w:rStyle w:val="Appelnotedebasdep"/>
          <w:rFonts w:asciiTheme="minorHAnsi" w:hAnsiTheme="minorHAnsi" w:cstheme="minorHAnsi"/>
          <w:sz w:val="22"/>
        </w:rPr>
        <w:footnoteReference w:id="1"/>
      </w:r>
      <w:r w:rsidRPr="00060344">
        <w:rPr>
          <w:rFonts w:asciiTheme="minorHAnsi" w:hAnsiTheme="minorHAnsi" w:cstheme="minorHAnsi"/>
          <w:sz w:val="22"/>
        </w:rPr>
        <w:t xml:space="preserve"> What is specific to this whole range (in comparison with “Internet 1.0” and e-commerce) is the offer to bring into relation users, applications or contents developed by third parties. Several definitions of the word “platform” have been recently formulated. Let us hold herein to the one proposed by Article 49 of the French Act n°2016-1321 of 7 October 2016 for a “Digital Republic”: “</w:t>
      </w:r>
      <w:r w:rsidRPr="00060344">
        <w:rPr>
          <w:rFonts w:asciiTheme="minorHAnsi" w:hAnsiTheme="minorHAnsi" w:cstheme="minorHAnsi"/>
          <w:i/>
          <w:sz w:val="22"/>
        </w:rPr>
        <w:t>platform operator</w:t>
      </w:r>
      <w:r w:rsidRPr="00060344">
        <w:rPr>
          <w:rFonts w:asciiTheme="minorHAnsi" w:hAnsiTheme="minorHAnsi" w:cstheme="minorHAnsi"/>
          <w:sz w:val="22"/>
        </w:rPr>
        <w:t xml:space="preserve"> [refers to] </w:t>
      </w:r>
      <w:r w:rsidRPr="00060344">
        <w:rPr>
          <w:rFonts w:asciiTheme="minorHAnsi" w:hAnsiTheme="minorHAnsi" w:cstheme="minorHAnsi"/>
          <w:i/>
          <w:sz w:val="22"/>
        </w:rPr>
        <w:t>any natural or juristic person offering professionally, whether with remuneration or not, an on-line communication service based on: the listing or ranking, by using computer algorithms, of contents, goods or services proposed or posted on line by third parties; or the bringing of several parties into relation for the purpose of selling a good, providing a service or exchanging or sharing contents, goods or services</w:t>
      </w:r>
      <w:r w:rsidRPr="00060344">
        <w:rPr>
          <w:rFonts w:asciiTheme="minorHAnsi" w:hAnsiTheme="minorHAnsi" w:cstheme="minorHAnsi"/>
          <w:sz w:val="22"/>
        </w:rPr>
        <w:t>”.</w:t>
      </w:r>
      <w:r w:rsidR="00A3496B" w:rsidRPr="00060344">
        <w:rPr>
          <w:rStyle w:val="Appelnotedebasdep"/>
          <w:rFonts w:asciiTheme="minorHAnsi" w:hAnsiTheme="minorHAnsi" w:cstheme="minorHAnsi"/>
          <w:sz w:val="22"/>
        </w:rPr>
        <w:footnoteReference w:id="2"/>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C0386" w:rsidRPr="00060344" w:rsidRDefault="00DC0386">
      <w:pPr>
        <w:rPr>
          <w:rFonts w:asciiTheme="minorHAnsi" w:hAnsiTheme="minorHAnsi" w:cstheme="minorHAnsi"/>
          <w:sz w:val="26"/>
        </w:rPr>
      </w:pPr>
      <w:bookmarkStart w:id="3" w:name="Generated_Bookmark3"/>
      <w:bookmarkEnd w:id="3"/>
      <w:r w:rsidRPr="00060344">
        <w:rPr>
          <w:rFonts w:asciiTheme="minorHAnsi" w:hAnsiTheme="minorHAnsi" w:cstheme="minorHAnsi"/>
          <w:sz w:val="26"/>
        </w:rPr>
        <w:br w:type="page"/>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6"/>
        </w:rPr>
        <w:lastRenderedPageBreak/>
        <w:t>Masters of the digital economy</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 xml:space="preserve">Dominant owing to their model of “disintermediation” (or rather “reintermediation”), </w:t>
      </w:r>
      <w:r w:rsidRPr="00060344">
        <w:rPr>
          <w:rStyle w:val="Redline"/>
          <w:rFonts w:asciiTheme="minorHAnsi" w:hAnsiTheme="minorHAnsi" w:cstheme="minorHAnsi"/>
          <w:sz w:val="22"/>
          <w:u w:val="none"/>
        </w:rPr>
        <w:t>which eliminates the usual intermediaries between consumers and sellers</w:t>
      </w:r>
      <w:r w:rsidRPr="00060344">
        <w:rPr>
          <w:rFonts w:asciiTheme="minorHAnsi" w:hAnsiTheme="minorHAnsi" w:cstheme="minorHAnsi"/>
          <w:sz w:val="22"/>
        </w:rPr>
        <w:t>, new “barbarians” are now roiling the lines of force in the established social order. Besides “uberizing” businesses, they are short-circuiting traditional intermediaries in pursuit of the total decentralization advocated by the Internet’s founding fathers (for example, Paul Baran), who promised to build a horizontal, decentralized world or even launch a “third industrial revolution” (a phrase popularized by Jeremy Rifkin). More than ever, “</w:t>
      </w:r>
      <w:r w:rsidRPr="00060344">
        <w:rPr>
          <w:rFonts w:asciiTheme="minorHAnsi" w:hAnsiTheme="minorHAnsi" w:cstheme="minorHAnsi"/>
          <w:i/>
          <w:sz w:val="22"/>
        </w:rPr>
        <w:t>software is eating the world</w:t>
      </w:r>
      <w:r w:rsidRPr="00060344">
        <w:rPr>
          <w:rFonts w:asciiTheme="minorHAnsi" w:hAnsiTheme="minorHAnsi" w:cstheme="minorHAnsi"/>
          <w:sz w:val="22"/>
        </w:rPr>
        <w:t>”, to borrow from Marc Andreessen, cofounder of Netscape.</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This model has been so successful because it offers users an incomparable level of service. Owing to the formidable alliance with the power of the “multitude”, in the words of Henri Verdier and Nicolas Colin,</w:t>
      </w:r>
      <w:r w:rsidR="00A3496B" w:rsidRPr="00060344">
        <w:rPr>
          <w:rStyle w:val="Appelnotedebasdep"/>
          <w:rFonts w:asciiTheme="minorHAnsi" w:hAnsiTheme="minorHAnsi" w:cstheme="minorHAnsi"/>
          <w:sz w:val="22"/>
        </w:rPr>
        <w:footnoteReference w:id="3"/>
      </w:r>
      <w:r w:rsidRPr="00060344">
        <w:rPr>
          <w:rFonts w:asciiTheme="minorHAnsi" w:hAnsiTheme="minorHAnsi" w:cstheme="minorHAnsi"/>
          <w:sz w:val="22"/>
        </w:rPr>
        <w:t xml:space="preserve"> it maximizes the network effect (or “network externality”), </w:t>
      </w:r>
      <w:r w:rsidRPr="00060344">
        <w:rPr>
          <w:rFonts w:asciiTheme="minorHAnsi" w:hAnsiTheme="minorHAnsi" w:cstheme="minorHAnsi"/>
          <w:i/>
          <w:sz w:val="22"/>
        </w:rPr>
        <w:t>i.e.</w:t>
      </w:r>
      <w:r w:rsidRPr="00060344">
        <w:rPr>
          <w:rFonts w:asciiTheme="minorHAnsi" w:hAnsiTheme="minorHAnsi" w:cstheme="minorHAnsi"/>
          <w:sz w:val="22"/>
        </w:rPr>
        <w:t>, the increase in the collective value of a good or service as new users connect to the network. Furthermore, it capitalizes on the data produced by users as a source of productivity.</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But there is another side to the coin. Consequent to this success, the web is now, contrary to its founding philosophy, creating new gatekeepers. This is not the least of paradoxes!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Once a new type of platform has been installed, we very often observe a winner-takes-all effect: one player catches a major share of the market in question, benefits from a synergy on neighboring markets thanks to his increasing performance, and reigns as a master over whole swaths of our economy. This might seem theoretical; but a loss of ranking on Google Search, a delisting on App Store or a negative criticism on TripAdvisor are likely to significantly affect a firm’s growth.</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Louis Pouzin, a French engineer deeply involved in creating the Internet, has unhesitatingly talked about “information colonization”. The problem can only become worse as our economies undergo the digital transformation.</w:t>
      </w:r>
    </w:p>
    <w:p w:rsidR="00FB75E9" w:rsidRPr="00060344" w:rsidRDefault="00FB75E9" w:rsidP="00A3496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u w:val="none"/>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4" w:name="Generated_Bookmark4"/>
      <w:bookmarkEnd w:id="4"/>
      <w:r w:rsidRPr="00060344">
        <w:rPr>
          <w:rFonts w:asciiTheme="minorHAnsi" w:hAnsiTheme="minorHAnsi" w:cstheme="minorHAnsi"/>
          <w:sz w:val="33"/>
          <w:u w:val="single"/>
        </w:rPr>
        <w:t>At stake: The country’s digital transformation</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 stakes are so high that a new form of regulation is to be designed. However, in the digital realm more than elsewhere, laws should be touched “</w:t>
      </w:r>
      <w:r w:rsidRPr="00060344">
        <w:rPr>
          <w:rFonts w:asciiTheme="minorHAnsi" w:hAnsiTheme="minorHAnsi" w:cstheme="minorHAnsi"/>
          <w:i/>
          <w:sz w:val="22"/>
        </w:rPr>
        <w:t>only with a trembling hand</w:t>
      </w:r>
      <w:r w:rsidRPr="00060344">
        <w:rPr>
          <w:rFonts w:asciiTheme="minorHAnsi" w:hAnsiTheme="minorHAnsi" w:cstheme="minorHAnsi"/>
          <w:sz w:val="22"/>
        </w:rPr>
        <w:t>”, as Montesquieu recommended. In a market in the throes of a transition and an acceleration of innovation, as is happening in the digital economy, a poorly conceived regulation risks curbing innovation and, ultimately, working in favor of the current platform operators instead of controlling them. Let us look at the checks and balances that might offset the power of on-line platforms.</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5" w:name="Generated_Bookmark5"/>
      <w:bookmarkEnd w:id="5"/>
      <w:r w:rsidRPr="00060344">
        <w:rPr>
          <w:rFonts w:asciiTheme="minorHAnsi" w:hAnsiTheme="minorHAnsi" w:cstheme="minorHAnsi"/>
          <w:sz w:val="26"/>
        </w:rPr>
        <w:t>Existing checks and balances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In the digital economy, vested positions, even the most dominant ones, are precarious. Ruthless competition takes place among players who are trying to attract consumers. The history of the web is full of stories about Goliaths (Altavista, Myspace, etc.) who, despite their reputation of invincibility a few years previously, are now easier to dodge.</w:t>
      </w:r>
    </w:p>
    <w:p w:rsidR="00DC0386"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r>
    </w:p>
    <w:p w:rsidR="00DC0386" w:rsidRPr="00060344" w:rsidRDefault="00DC0386">
      <w:pPr>
        <w:rPr>
          <w:rFonts w:asciiTheme="minorHAnsi" w:hAnsiTheme="minorHAnsi" w:cstheme="minorHAnsi"/>
          <w:sz w:val="22"/>
        </w:rPr>
      </w:pPr>
      <w:r w:rsidRPr="00060344">
        <w:rPr>
          <w:rFonts w:asciiTheme="minorHAnsi" w:hAnsiTheme="minorHAnsi" w:cstheme="minorHAnsi"/>
          <w:sz w:val="22"/>
        </w:rPr>
        <w:br w:type="page"/>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This competition between platforms is a major check and balance for preventing abusive market practices. Analyzing its effects is complicated however. Despite full competition in the quality and price of services supplied to consumers, questions arise about the other sides of these platforms: business-to-business (B2B) relations, the interface with workers in the sharing economy, etc.</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6" w:name="Generated_Bookmark6"/>
      <w:bookmarkEnd w:id="6"/>
      <w:r w:rsidRPr="00060344">
        <w:rPr>
          <w:rFonts w:asciiTheme="minorHAnsi" w:hAnsiTheme="minorHAnsi" w:cstheme="minorHAnsi"/>
          <w:sz w:val="26"/>
        </w:rPr>
        <w:t>Applying existing laws and regulations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On-line platforms are not outside the laws on competition, personal data, commerce or consumer protection, not to mention specialized legal measures for e-businesses or the security of information systems.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Nonetheless, the digital economy, since it is worldwide, raises new issues about the territorial scope of laws. For this reason, the European Commission (henceforth EC) is, as part of its strategy for a Digital Single Market, trying to update various legal measures for the digital era: the e-commerce directive, the regulation on the protection of personal data, the Network Security and Information Directive, the Audiovisual Media Services Directive, the measures for electronic communications targeting businesses such as Skype or WhatsApp, etc.</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7" w:name="Generated_Bookmark7"/>
      <w:bookmarkEnd w:id="7"/>
      <w:r w:rsidRPr="00060344">
        <w:rPr>
          <w:rFonts w:asciiTheme="minorHAnsi" w:hAnsiTheme="minorHAnsi" w:cstheme="minorHAnsi"/>
          <w:sz w:val="26"/>
        </w:rPr>
        <w:t>The issue of trust</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Delisting goods or services, changing the general sales conditions, modifying Application Programming Interfaces (APIs)… these unilateral practices by platforms can be a matter of life or death for the firms that have to grapple with them. Nonetheless, it is difficult to assess their impact, because these problems are still tenuous. Furthermore, the small or medium-sized firms or start-ups that have to put up with them are often more concentrated on business than regulatory issues. A trend is, however, clearly perceptible: many stakeholders (companies and nonprofit organizations) are voicing a growing concern.</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Even as the digital realm is expanding over more and more branches of the economy, society’s dependence on a few web giants’ actions is a major cause of concern. The playing field for tomorrow’s economy is at stake. As Jean Tirole</w:t>
      </w:r>
      <w:r w:rsidR="00A3496B" w:rsidRPr="00060344">
        <w:rPr>
          <w:rStyle w:val="Appelnotedebasdep"/>
          <w:rFonts w:asciiTheme="minorHAnsi" w:hAnsiTheme="minorHAnsi" w:cstheme="minorHAnsi"/>
          <w:sz w:val="22"/>
        </w:rPr>
        <w:footnoteReference w:id="4"/>
      </w:r>
      <w:r w:rsidRPr="00060344">
        <w:rPr>
          <w:rFonts w:asciiTheme="minorHAnsi" w:hAnsiTheme="minorHAnsi" w:cstheme="minorHAnsi"/>
          <w:sz w:val="22"/>
        </w:rPr>
        <w:t xml:space="preserve"> has recalled, the government’s first role in the economy is to create the trust necessary for transactions. For public authorities, the task is not to build a great wall of regulations but, above all else, to maximize, for all parties, security and confidence so as to free the forces of innovation.</w:t>
      </w:r>
    </w:p>
    <w:p w:rsidR="00FB75E9" w:rsidRPr="00060344" w:rsidRDefault="00FB75E9" w:rsidP="00A3496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8" w:name="Generated_Bookmark8"/>
      <w:bookmarkEnd w:id="8"/>
      <w:r w:rsidRPr="00060344">
        <w:rPr>
          <w:rFonts w:asciiTheme="minorHAnsi" w:hAnsiTheme="minorHAnsi" w:cstheme="minorHAnsi"/>
          <w:sz w:val="33"/>
          <w:u w:val="single"/>
        </w:rPr>
        <w:t>The principle of an open Internet</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 introduction at the end of 2015 of a new regulation for the Internet has signaled a major shift of paradigms. The EU’s Open Internet Regulation</w:t>
      </w:r>
      <w:r w:rsidR="00A3496B" w:rsidRPr="00060344">
        <w:rPr>
          <w:rStyle w:val="Appelnotedebasdep"/>
          <w:rFonts w:asciiTheme="minorHAnsi" w:hAnsiTheme="minorHAnsi" w:cstheme="minorHAnsi"/>
          <w:sz w:val="22"/>
        </w:rPr>
        <w:footnoteReference w:id="5"/>
      </w:r>
      <w:r w:rsidRPr="00060344">
        <w:rPr>
          <w:rFonts w:asciiTheme="minorHAnsi" w:hAnsiTheme="minorHAnsi" w:cstheme="minorHAnsi"/>
          <w:sz w:val="22"/>
        </w:rPr>
        <w:t xml:space="preserve"> lays down rules for access-providers with the objective of Internet neutrality, whereby providers ate to “agnostically” transport contents.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These rules are mainly preventive. They do not, in general, stem from anomalies observed in the comportment of economic agents. To be clear, this principle mainly asserts the political decision to make the Internet a commons, a free space for exchanges, connections and innovation.</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060344" w:rsidRDefault="00060344">
      <w:pPr>
        <w:rPr>
          <w:rFonts w:asciiTheme="minorHAnsi" w:hAnsiTheme="minorHAnsi" w:cstheme="minorHAnsi"/>
          <w:sz w:val="26"/>
        </w:rPr>
      </w:pPr>
      <w:bookmarkStart w:id="9" w:name="Generated_Bookmark9"/>
      <w:bookmarkEnd w:id="9"/>
      <w:r>
        <w:rPr>
          <w:rFonts w:asciiTheme="minorHAnsi" w:hAnsiTheme="minorHAnsi" w:cstheme="minorHAnsi"/>
          <w:sz w:val="26"/>
        </w:rPr>
        <w:br w:type="page"/>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6"/>
        </w:rPr>
        <w:t>The hard core: Net neutrality</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 aforementioned regulation introduces the principle of an open Internet. This means that each user (cybernaut, firm, website, application, etc.) has free access (via its connection to the Internet) to all available on-line information or contents and that users may freely contribute to the Internet. To uphold this principle, rules have been laid down for operators. The duty of seeing to their application has been assigned to national regulatory authorities (in France, ARCEP, the Autorité de Régulation des Communications Électroniques and des Postes).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 xml:space="preserve">This decision to regulate is a strong policy signal, since it places limits on the market and on the choices available to economic agents. The eventual tendency of telecommunication operators to reach agreements with GAFA (the Web giants: Google, Apple, Facebook and Amazon) for accelerating the transmission of their contents is stymied. This principle has served as the grounds for the Indian regulatory authority (TRAI) to keep Facebook from launching </w:t>
      </w:r>
      <w:r w:rsidRPr="00060344">
        <w:rPr>
          <w:rStyle w:val="Redline"/>
          <w:rFonts w:asciiTheme="minorHAnsi" w:hAnsiTheme="minorHAnsi" w:cstheme="minorHAnsi"/>
          <w:sz w:val="22"/>
          <w:u w:val="none"/>
        </w:rPr>
        <w:t>Free Basics</w:t>
      </w:r>
      <w:r w:rsidRPr="00060344">
        <w:rPr>
          <w:rFonts w:asciiTheme="minorHAnsi" w:hAnsiTheme="minorHAnsi" w:cstheme="minorHAnsi"/>
          <w:sz w:val="22"/>
        </w:rPr>
        <w:t>.</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0" w:name="Generated_Bookmark10"/>
      <w:bookmarkEnd w:id="10"/>
      <w:r w:rsidRPr="00060344">
        <w:rPr>
          <w:rFonts w:asciiTheme="minorHAnsi" w:hAnsiTheme="minorHAnsi" w:cstheme="minorHAnsi"/>
          <w:sz w:val="26"/>
        </w:rPr>
        <w:t>The debate on digital platforms in France and Europe</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We are witnessing the start of the history of the Internet, as digital “pipelines” have moved toward on-line platforms and applications. Given the decisive importance of a handful of web giants in matters relating to the access to knowledge and culture, several parties are now calling for thought about whether these new rules of protection should be extended to digital platforms.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Whether or not to regulate will ultimately be a choice about the society we want, a choice stemming from policy decision-making. French lawmakers have, been active: the Macron Act introduced in the Consumer Code a clause targeting certain on-line platforms. Furthermore, Section 3 of the recently passed Lemaire Act on a Digital Republic imposes an “</w:t>
      </w:r>
      <w:r w:rsidRPr="00060344">
        <w:rPr>
          <w:rFonts w:asciiTheme="minorHAnsi" w:hAnsiTheme="minorHAnsi" w:cstheme="minorHAnsi"/>
          <w:i/>
          <w:sz w:val="22"/>
        </w:rPr>
        <w:t>obligation of loyalty</w:t>
      </w:r>
      <w:r w:rsidRPr="00060344">
        <w:rPr>
          <w:rFonts w:asciiTheme="minorHAnsi" w:hAnsiTheme="minorHAnsi" w:cstheme="minorHAnsi"/>
          <w:sz w:val="22"/>
        </w:rPr>
        <w:t>” on platforms.</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At the EU level, no consensus has yet been reached — neither on the need for a specific regulation nor even on the principles to be instituted. The EC is working on this topic.</w:t>
      </w:r>
      <w:r w:rsidR="00A3496B" w:rsidRPr="00060344">
        <w:rPr>
          <w:rStyle w:val="Appelnotedebasdep"/>
          <w:rFonts w:asciiTheme="minorHAnsi" w:hAnsiTheme="minorHAnsi" w:cstheme="minorHAnsi"/>
          <w:sz w:val="22"/>
        </w:rPr>
        <w:footnoteReference w:id="6"/>
      </w:r>
      <w:r w:rsidRPr="00060344">
        <w:rPr>
          <w:rFonts w:asciiTheme="minorHAnsi" w:hAnsiTheme="minorHAnsi" w:cstheme="minorHAnsi"/>
          <w:sz w:val="22"/>
        </w:rPr>
        <w:t xml:space="preserve"> A public hearing on the economic role of on-line platforms was held in September 2015. The odds are high that this question will interest European MPs in the coming years.</w:t>
      </w:r>
    </w:p>
    <w:p w:rsidR="00FB75E9" w:rsidRPr="00060344" w:rsidRDefault="00FB75E9" w:rsidP="00A3496B">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u w:val="none"/>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1" w:name="Generated_Bookmark11"/>
      <w:bookmarkEnd w:id="11"/>
      <w:r w:rsidRPr="00060344">
        <w:rPr>
          <w:rFonts w:asciiTheme="minorHAnsi" w:hAnsiTheme="minorHAnsi" w:cstheme="minorHAnsi"/>
          <w:sz w:val="33"/>
          <w:u w:val="single"/>
        </w:rPr>
        <w:t>A specific regulation on digital platforms? Points for thought…</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Were a new set of regulations to emerge for platforms, it should obviously not copy what already exists for regulating infrastructures such as telecommunications, energy or transportation. New forms of regulation are yet to be invented to adapt to the accelerated pace of innovations and the worldwide reach of operators.</w:t>
      </w:r>
    </w:p>
    <w:p w:rsidR="00FB75E9" w:rsidRPr="00060344"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2" w:name="Generated_Bookmark12"/>
      <w:bookmarkEnd w:id="12"/>
      <w:r w:rsidRPr="00060344">
        <w:rPr>
          <w:rFonts w:asciiTheme="minorHAnsi" w:hAnsiTheme="minorHAnsi" w:cstheme="minorHAnsi"/>
          <w:sz w:val="26"/>
        </w:rPr>
        <w:t>A construction necessarily European</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Interventions targeting on-line platforms must fit into an approach that is at the very least European, since, by nature, the digital ecosystem and its players tend to be global. As the French Conseil d’État has emphasized, introducing national legal measures would raise problems about their compatibility with the EU’s.</w:t>
      </w:r>
      <w:r w:rsidR="00A3496B" w:rsidRPr="00060344">
        <w:rPr>
          <w:rStyle w:val="Appelnotedebasdep"/>
          <w:rFonts w:asciiTheme="minorHAnsi" w:hAnsiTheme="minorHAnsi" w:cstheme="minorHAnsi"/>
          <w:sz w:val="22"/>
        </w:rPr>
        <w:footnoteReference w:id="7"/>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Furthermore, national interventions would encounter the problem of players installed outside the country. The risk is that this interventionism would mainly affecting French platforms (Le Bon Coin, pagesjaunes.fr, Blablacar, etc.) and load them with an additional regulatory handicap in competing with the American and Asian giants. This does not mean that national law would not apply to the giants but that they are ever ready to undertake litigation to postpone application.</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Actions by national authorities risk leading to the creation of disparate legal arrangements in Europe; and this could splinter the Digital Single Market.</w:t>
      </w:r>
    </w:p>
    <w:p w:rsidR="00FB75E9"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060344" w:rsidRPr="00060344" w:rsidRDefault="00060344"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3" w:name="Generated_Bookmark13"/>
      <w:bookmarkEnd w:id="13"/>
      <w:r w:rsidRPr="00060344">
        <w:rPr>
          <w:rFonts w:asciiTheme="minorHAnsi" w:hAnsiTheme="minorHAnsi" w:cstheme="minorHAnsi"/>
          <w:sz w:val="26"/>
        </w:rPr>
        <w:t>Toward a fast-track procedure</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Beyond any principles introduced in substantive law, questions will arise about how to implement them. The existing institutional framework has led to incoherence. In the investigation of Booking.com, for example, French and Italian lawmakers contradicted the decisions of their competition authorities, which had reached an agreement with each other.</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 xml:space="preserve">Besides, interventions through the courts or the EC are not fast enough. Given the pace of innovation in the digital economy and the technical nature of interventions, response time is a crucial parameter for a regulation to be applicable. In the case of lawsuits opposing platforms to start-ups or small and medium-sized firms, a regulation should provide for settlement within a few months. This is not now the case. For instance, the notification to Google of the charges brought by the European Commission in April 2016 came after an investigation that lasted five years. An </w:t>
      </w:r>
      <w:r w:rsidRPr="00060344">
        <w:rPr>
          <w:rFonts w:asciiTheme="minorHAnsi" w:hAnsiTheme="minorHAnsi" w:cstheme="minorHAnsi"/>
          <w:i/>
          <w:sz w:val="22"/>
        </w:rPr>
        <w:t>ad hoc</w:t>
      </w:r>
      <w:r w:rsidRPr="00060344">
        <w:rPr>
          <w:rFonts w:asciiTheme="minorHAnsi" w:hAnsiTheme="minorHAnsi" w:cstheme="minorHAnsi"/>
          <w:sz w:val="22"/>
        </w:rPr>
        <w:t xml:space="preserve"> procedure limited in time (from three to six months) and reserved for small companies could be adopted. By comparison, ARCEP, to set fair conditions in matters related to techniques and rate schedules, has four months to settle differences between telecommunication operators. A limitation of this sort would let authorities respond quickly to small firmq or start-ups that have problems with the listing of their goods or services by GAFA.</w:t>
      </w:r>
    </w:p>
    <w:p w:rsidR="00FB75E9" w:rsidRDefault="00FB75E9"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060344" w:rsidRPr="00060344" w:rsidRDefault="00060344" w:rsidP="00A3496B">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4" w:name="Generated_Bookmark14"/>
      <w:bookmarkEnd w:id="14"/>
      <w:r w:rsidRPr="00060344">
        <w:rPr>
          <w:rFonts w:asciiTheme="minorHAnsi" w:hAnsiTheme="minorHAnsi" w:cstheme="minorHAnsi"/>
          <w:sz w:val="26"/>
        </w:rPr>
        <w:t>Agility and co-construction: Rating platforms instead of regulating them</w:t>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The adoption of national regulations with binding obligations seems premature; but it would be worthwhile, starting now, to collect and publish information so as to have an inventory, analysis and comparison of on-line platforms’ practices. In this regard, the National Digital Council has made an interesting proposal for a rating system that, through comparative quantitative studies, would bring pressure to bear on the platforms.</w:t>
      </w:r>
      <w:r w:rsidR="00A3496B" w:rsidRPr="00060344">
        <w:rPr>
          <w:rStyle w:val="Appelnotedebasdep"/>
          <w:rFonts w:asciiTheme="minorHAnsi" w:hAnsiTheme="minorHAnsi" w:cstheme="minorHAnsi"/>
          <w:sz w:val="22"/>
        </w:rPr>
        <w:footnoteReference w:id="8"/>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Given the variety of platforms and the complexity of this issue, a profusion of information and tests is necessary instead of total centralization. To be effective, a rating system would have to operate following a “state-platform logic” while relying on an open network of contributors. The government could limit its role to being an information hub, a certifying third party who sees to it that the information published is sincere and reliable. Since public authorities could obtain information directly from the platforms, a sort of safety net would exist for keeping the platforms from cutting off access to useful data. Such an arrangement would help us “objectify” these problems and move beyond our current lack of understanding. It could serve as the basis for coordinated actions at the EU level.</w:t>
      </w:r>
    </w:p>
    <w:p w:rsidR="00060344" w:rsidRDefault="00060344">
      <w:pPr>
        <w:rPr>
          <w:rFonts w:asciiTheme="minorHAnsi" w:hAnsiTheme="minorHAnsi" w:cstheme="minorHAnsi"/>
          <w:sz w:val="22"/>
        </w:rPr>
      </w:pPr>
      <w:r>
        <w:rPr>
          <w:rFonts w:asciiTheme="minorHAnsi" w:hAnsiTheme="minorHAnsi" w:cstheme="minorHAnsi"/>
          <w:sz w:val="22"/>
        </w:rPr>
        <w:br w:type="page"/>
      </w:r>
    </w:p>
    <w:p w:rsidR="00FB75E9" w:rsidRPr="00060344" w:rsidRDefault="00FB75E9"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060344">
        <w:rPr>
          <w:rFonts w:asciiTheme="minorHAnsi" w:hAnsiTheme="minorHAnsi" w:cstheme="minorHAnsi"/>
          <w:sz w:val="22"/>
        </w:rPr>
        <w:tab/>
        <w:t>Europe has many aces in the hole to play in this new economy: a highly competitive telecommunications sector, internationally renown centers of innovation, talents wooed by the whole world and, of course, entrepreneurial successes (Criteo, Spotify, King Digital, Sigfox…) that provide alternatives to the giants. These initiatives must be supported by adopting offensive strategies on investments in innovation and start-ups, and by changing mentalities so as to foster risk-taking and cooperation. Parallel to this approach, a strategy for promoting (and, if need be, protecting) our values is also necessary if we want our model to not only survive but also be carried on and renewed thanks to (and through) the digital revolution.</w:t>
      </w:r>
    </w:p>
    <w:sectPr w:rsidR="00FB75E9" w:rsidRPr="00060344" w:rsidSect="0006034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08" w:rsidRDefault="00A71308" w:rsidP="004051CA">
      <w:r>
        <w:separator/>
      </w:r>
    </w:p>
  </w:endnote>
  <w:endnote w:type="continuationSeparator" w:id="0">
    <w:p w:rsidR="00A71308" w:rsidRDefault="00A71308" w:rsidP="0040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DE" w:rsidRDefault="00A7130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DE" w:rsidRPr="00FB4EFC" w:rsidRDefault="00FB4EFC" w:rsidP="00FB4EFC">
    <w:pPr>
      <w:pStyle w:val="Pieddepage"/>
      <w:jc w:val="right"/>
      <w:rPr>
        <w:rFonts w:ascii="Calibri" w:hAnsi="Calibri" w:cs="Calibri"/>
      </w:rPr>
    </w:pPr>
    <w:r w:rsidRPr="00F32844">
      <w:rPr>
        <w:rFonts w:ascii="Calibri" w:hAnsi="Calibri" w:cs="Calibri"/>
        <w:color w:val="E20936"/>
        <w:sz w:val="22"/>
        <w:szCs w:val="22"/>
      </w:rPr>
      <w:t>Réalités Industr</w:t>
    </w:r>
    <w:bookmarkStart w:id="15" w:name="_GoBack"/>
    <w:bookmarkEnd w:id="15"/>
    <w:r w:rsidRPr="00F32844">
      <w:rPr>
        <w:rFonts w:ascii="Calibri" w:hAnsi="Calibri" w:cs="Calibri"/>
        <w:color w:val="E20936"/>
        <w:sz w:val="22"/>
        <w:szCs w:val="22"/>
      </w:rPr>
      <w:t>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A71308" w:rsidRPr="00A71308">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FC" w:rsidRDefault="00FB4E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08" w:rsidRDefault="00A71308" w:rsidP="004051CA">
      <w:r>
        <w:separator/>
      </w:r>
    </w:p>
  </w:footnote>
  <w:footnote w:type="continuationSeparator" w:id="0">
    <w:p w:rsidR="00A71308" w:rsidRDefault="00A71308" w:rsidP="004051CA">
      <w:r>
        <w:continuationSeparator/>
      </w:r>
    </w:p>
  </w:footnote>
  <w:footnote w:id="1">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Article translated from French by Noal Mellott (Omaha Beach, France). References have been updated for this translation.</w:t>
      </w:r>
    </w:p>
  </w:footnote>
  <w:footnote w:id="2">
    <w:p w:rsidR="00810F0E"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Redline"/>
          <w:rFonts w:asciiTheme="minorHAnsi" w:hAnsiTheme="minorHAnsi" w:cstheme="minorHAnsi"/>
          <w:sz w:val="16"/>
          <w:szCs w:val="16"/>
          <w:u w:val="none"/>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w:t>
      </w:r>
      <w:r w:rsidRPr="00060344">
        <w:rPr>
          <w:rStyle w:val="Redline"/>
          <w:rFonts w:asciiTheme="minorHAnsi" w:hAnsiTheme="minorHAnsi" w:cstheme="minorHAnsi"/>
          <w:sz w:val="16"/>
          <w:szCs w:val="16"/>
          <w:u w:val="none"/>
        </w:rPr>
        <w:t xml:space="preserve">The Lemaire Act on a Digital Republic: Loi n° 2016-1321 du 7 octobre 2016 pour une République numérique, </w:t>
      </w:r>
      <w:r w:rsidRPr="00060344">
        <w:rPr>
          <w:rStyle w:val="Redline"/>
          <w:rFonts w:asciiTheme="minorHAnsi" w:hAnsiTheme="minorHAnsi" w:cstheme="minorHAnsi"/>
          <w:i/>
          <w:sz w:val="16"/>
          <w:szCs w:val="16"/>
          <w:u w:val="none"/>
        </w:rPr>
        <w:t>Journal officielle</w:t>
      </w:r>
      <w:r w:rsidRPr="00060344">
        <w:rPr>
          <w:rStyle w:val="Redline"/>
          <w:rFonts w:asciiTheme="minorHAnsi" w:hAnsiTheme="minorHAnsi" w:cstheme="minorHAnsi"/>
          <w:sz w:val="16"/>
          <w:szCs w:val="16"/>
          <w:u w:val="none"/>
        </w:rPr>
        <w:t>, 235, 8 October 2016. Available at:</w:t>
      </w: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Redline"/>
          <w:rFonts w:asciiTheme="minorHAnsi" w:hAnsiTheme="minorHAnsi" w:cstheme="minorHAnsi"/>
          <w:sz w:val="16"/>
          <w:szCs w:val="16"/>
          <w:u w:val="none"/>
        </w:rPr>
        <w:t>https://www.legifrance.gouv.fr/affichTexte.do;jsessionid=93D0CE3168F6783F5F64419E5328D436.tpdila14v_1?cidTexte=JORFTEXT000033202746&amp;categorieLien=idea</w:t>
      </w:r>
    </w:p>
  </w:footnote>
  <w:footnote w:id="3">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Nicolas Colin &amp; Henri Verdier, </w:t>
      </w:r>
      <w:r w:rsidRPr="00060344">
        <w:rPr>
          <w:rFonts w:asciiTheme="minorHAnsi" w:hAnsiTheme="minorHAnsi" w:cstheme="minorHAnsi"/>
          <w:i/>
          <w:sz w:val="16"/>
          <w:szCs w:val="16"/>
        </w:rPr>
        <w:t>L’Âge de la multitude. Entreprendre et gouverner après la révolution numérique</w:t>
      </w:r>
      <w:r w:rsidRPr="00060344">
        <w:rPr>
          <w:rFonts w:asciiTheme="minorHAnsi" w:hAnsiTheme="minorHAnsi" w:cstheme="minorHAnsi"/>
          <w:sz w:val="16"/>
          <w:szCs w:val="16"/>
        </w:rPr>
        <w:t xml:space="preserve"> (Paris: Armand Colin, 2015).</w:t>
      </w:r>
    </w:p>
  </w:footnote>
  <w:footnote w:id="4">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Jean Tirole, </w:t>
      </w:r>
      <w:r w:rsidRPr="00060344">
        <w:rPr>
          <w:rFonts w:asciiTheme="minorHAnsi" w:hAnsiTheme="minorHAnsi" w:cstheme="minorHAnsi"/>
          <w:i/>
          <w:sz w:val="16"/>
          <w:szCs w:val="16"/>
        </w:rPr>
        <w:t>Économie du bien commun</w:t>
      </w:r>
      <w:r w:rsidRPr="00060344">
        <w:rPr>
          <w:rFonts w:asciiTheme="minorHAnsi" w:hAnsiTheme="minorHAnsi" w:cstheme="minorHAnsi"/>
          <w:sz w:val="16"/>
          <w:szCs w:val="16"/>
        </w:rPr>
        <w:t xml:space="preserve"> (Paris: Presses Universitaires de France, 2016).</w:t>
      </w:r>
    </w:p>
  </w:footnote>
  <w:footnote w:id="5">
    <w:p w:rsidR="00810F0E"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European Parliament and the Council of the European Union, "Regulation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(2015/201/EC) 25 November 2015. Available at:</w:t>
      </w: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Fonts w:asciiTheme="minorHAnsi" w:hAnsiTheme="minorHAnsi" w:cstheme="minorHAnsi"/>
          <w:sz w:val="16"/>
          <w:szCs w:val="16"/>
        </w:rPr>
        <w:t>http://eur-lex.europa.eu/legal-content/EN/TXT/HTML/?uri=CELEX:32015R2120&amp;rid=2</w:t>
      </w:r>
    </w:p>
  </w:footnote>
  <w:footnote w:id="6">
    <w:p w:rsidR="00810F0E"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European Commission, “Communication from the Commission to the European Parliament, the Council, the European Economic and Social Committee and the Committee of the Regions: A Digital Single Market Strategy for Europe” COM(2015) 192 final, 6 May 2015. Available at:</w:t>
      </w: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Fonts w:asciiTheme="minorHAnsi" w:hAnsiTheme="minorHAnsi" w:cstheme="minorHAnsi"/>
          <w:sz w:val="16"/>
          <w:szCs w:val="16"/>
        </w:rPr>
        <w:t>http://eur-lex.europa.eu/legal-content/EN/TXT/?qid=1447773803386&amp;uri=CELEX:52015DC0192</w:t>
      </w:r>
    </w:p>
  </w:footnote>
  <w:footnote w:id="7">
    <w:p w:rsidR="00810F0E"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Conseil d’État, “Étude annuelle 2014: Le numérique et les droits fondamentaux”, in particular pp.272-274. Available via:</w:t>
      </w: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Fonts w:asciiTheme="minorHAnsi" w:hAnsiTheme="minorHAnsi" w:cstheme="minorHAnsi"/>
          <w:sz w:val="16"/>
          <w:szCs w:val="16"/>
        </w:rPr>
        <w:t>http://www.ladocumentationfrancaise.fr/rapports-publics/144000541-etude-annuelle-2014-du-conseil-d-etat-le-numerique-et-les-droits-fondamentaux</w:t>
      </w:r>
    </w:p>
  </w:footnote>
  <w:footnote w:id="8">
    <w:p w:rsidR="00810F0E"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Style w:val="Appelnotedebasdep"/>
          <w:rFonts w:asciiTheme="minorHAnsi" w:hAnsiTheme="minorHAnsi" w:cstheme="minorHAnsi"/>
          <w:sz w:val="16"/>
          <w:szCs w:val="16"/>
        </w:rPr>
        <w:footnoteRef/>
      </w:r>
      <w:r w:rsidRPr="00060344">
        <w:rPr>
          <w:rFonts w:asciiTheme="minorHAnsi" w:hAnsiTheme="minorHAnsi" w:cstheme="minorHAnsi"/>
          <w:sz w:val="16"/>
          <w:szCs w:val="16"/>
        </w:rPr>
        <w:t xml:space="preserve"> Conseil National du Numérique, “Ambition numérique: Pour une politique française et européenne de la transition numérique”, June 2015. Available via:</w:t>
      </w:r>
    </w:p>
    <w:p w:rsidR="00A3496B" w:rsidRPr="00060344" w:rsidRDefault="00A3496B" w:rsidP="00A3496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16"/>
          <w:szCs w:val="16"/>
        </w:rPr>
      </w:pPr>
      <w:r w:rsidRPr="00060344">
        <w:rPr>
          <w:rFonts w:asciiTheme="minorHAnsi" w:hAnsiTheme="minorHAnsi" w:cstheme="minorHAnsi"/>
          <w:sz w:val="16"/>
          <w:szCs w:val="16"/>
        </w:rPr>
        <w:t>http://www.ladocumentationfrancaise.fr/rapports-publics/154000400/index.shtml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DE" w:rsidRDefault="004E3992">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240" w:lineRule="atLeast"/>
      <w:jc w:val="right"/>
      <w:rPr>
        <w:vanish/>
      </w:rPr>
    </w:pPr>
    <w:r>
      <w:rPr>
        <w:rFonts w:ascii="Arial" w:hAnsi="Arial"/>
      </w:rPr>
      <w:pgNum/>
    </w:r>
  </w:p>
  <w:p w:rsidR="00646ADE" w:rsidRDefault="00A7130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DE" w:rsidRDefault="00A71308">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FC" w:rsidRDefault="00FB4E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E9"/>
    <w:rsid w:val="00027A49"/>
    <w:rsid w:val="000426BE"/>
    <w:rsid w:val="00046FFE"/>
    <w:rsid w:val="00060344"/>
    <w:rsid w:val="000706C5"/>
    <w:rsid w:val="000D1502"/>
    <w:rsid w:val="00165EF3"/>
    <w:rsid w:val="00184F7F"/>
    <w:rsid w:val="001A0AD8"/>
    <w:rsid w:val="00256BE4"/>
    <w:rsid w:val="00287B8B"/>
    <w:rsid w:val="00290A87"/>
    <w:rsid w:val="002A1176"/>
    <w:rsid w:val="002E5621"/>
    <w:rsid w:val="00332BB8"/>
    <w:rsid w:val="00363C02"/>
    <w:rsid w:val="00397BD0"/>
    <w:rsid w:val="004051CA"/>
    <w:rsid w:val="00437E18"/>
    <w:rsid w:val="00462DEA"/>
    <w:rsid w:val="0049098A"/>
    <w:rsid w:val="004A6180"/>
    <w:rsid w:val="004C0B38"/>
    <w:rsid w:val="004E3992"/>
    <w:rsid w:val="004F054B"/>
    <w:rsid w:val="004F4401"/>
    <w:rsid w:val="00503949"/>
    <w:rsid w:val="005039F6"/>
    <w:rsid w:val="005112B9"/>
    <w:rsid w:val="00531B70"/>
    <w:rsid w:val="00585ACD"/>
    <w:rsid w:val="00605F8E"/>
    <w:rsid w:val="006326DD"/>
    <w:rsid w:val="00644321"/>
    <w:rsid w:val="00652C45"/>
    <w:rsid w:val="0068286D"/>
    <w:rsid w:val="006B51C8"/>
    <w:rsid w:val="006C2D9F"/>
    <w:rsid w:val="006C6E8B"/>
    <w:rsid w:val="006E489A"/>
    <w:rsid w:val="006F4758"/>
    <w:rsid w:val="00710BD0"/>
    <w:rsid w:val="007127BF"/>
    <w:rsid w:val="00750901"/>
    <w:rsid w:val="007823EB"/>
    <w:rsid w:val="0078538F"/>
    <w:rsid w:val="00787048"/>
    <w:rsid w:val="007A0AEB"/>
    <w:rsid w:val="00804E78"/>
    <w:rsid w:val="00810F0E"/>
    <w:rsid w:val="008D7CBC"/>
    <w:rsid w:val="008E1E54"/>
    <w:rsid w:val="00940CDB"/>
    <w:rsid w:val="009414E5"/>
    <w:rsid w:val="00946EEC"/>
    <w:rsid w:val="00960332"/>
    <w:rsid w:val="009C5DDD"/>
    <w:rsid w:val="009D5EA4"/>
    <w:rsid w:val="009F7022"/>
    <w:rsid w:val="00A12B35"/>
    <w:rsid w:val="00A3496B"/>
    <w:rsid w:val="00A43971"/>
    <w:rsid w:val="00A63AD7"/>
    <w:rsid w:val="00A71308"/>
    <w:rsid w:val="00A740BA"/>
    <w:rsid w:val="00A77ED5"/>
    <w:rsid w:val="00AB3587"/>
    <w:rsid w:val="00AB5B1F"/>
    <w:rsid w:val="00AC304E"/>
    <w:rsid w:val="00AD2238"/>
    <w:rsid w:val="00B11D88"/>
    <w:rsid w:val="00B131F6"/>
    <w:rsid w:val="00B80341"/>
    <w:rsid w:val="00B86721"/>
    <w:rsid w:val="00B9261B"/>
    <w:rsid w:val="00B9711D"/>
    <w:rsid w:val="00BA5325"/>
    <w:rsid w:val="00BD05DE"/>
    <w:rsid w:val="00C66D0D"/>
    <w:rsid w:val="00C77FA1"/>
    <w:rsid w:val="00C86B2F"/>
    <w:rsid w:val="00CB3C8F"/>
    <w:rsid w:val="00CC7651"/>
    <w:rsid w:val="00D2605D"/>
    <w:rsid w:val="00D875F2"/>
    <w:rsid w:val="00DB3DFE"/>
    <w:rsid w:val="00DC0386"/>
    <w:rsid w:val="00DC042F"/>
    <w:rsid w:val="00DD1D64"/>
    <w:rsid w:val="00DD7365"/>
    <w:rsid w:val="00E0440D"/>
    <w:rsid w:val="00E14F6D"/>
    <w:rsid w:val="00E422A3"/>
    <w:rsid w:val="00E46423"/>
    <w:rsid w:val="00EB3FA7"/>
    <w:rsid w:val="00ED1C9A"/>
    <w:rsid w:val="00F274F7"/>
    <w:rsid w:val="00F54185"/>
    <w:rsid w:val="00FA5544"/>
    <w:rsid w:val="00FB2B24"/>
    <w:rsid w:val="00FB4EFC"/>
    <w:rsid w:val="00FB7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E9"/>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FB75E9"/>
    <w:pPr>
      <w:widowControl w:val="0"/>
    </w:pPr>
    <w:rPr>
      <w:b/>
      <w:sz w:val="36"/>
      <w:u w:val="single"/>
    </w:rPr>
  </w:style>
  <w:style w:type="paragraph" w:customStyle="1" w:styleId="ArticleTit2">
    <w:name w:val="ArticleTit2"/>
    <w:basedOn w:val="Normal"/>
    <w:rsid w:val="00FB75E9"/>
    <w:pPr>
      <w:widowControl w:val="0"/>
    </w:pPr>
    <w:rPr>
      <w:b/>
      <w:sz w:val="29"/>
    </w:rPr>
  </w:style>
  <w:style w:type="paragraph" w:customStyle="1" w:styleId="Heading0">
    <w:name w:val="Heading0"/>
    <w:basedOn w:val="Normal"/>
    <w:rsid w:val="00FB75E9"/>
    <w:pPr>
      <w:widowControl w:val="0"/>
      <w:spacing w:after="20"/>
      <w:jc w:val="center"/>
    </w:pPr>
    <w:rPr>
      <w:b/>
      <w:sz w:val="36"/>
    </w:rPr>
  </w:style>
  <w:style w:type="character" w:customStyle="1" w:styleId="LineTight">
    <w:name w:val="LineTight"/>
    <w:rsid w:val="00FB75E9"/>
    <w:rPr>
      <w:rFonts w:cs="Times New Roman"/>
    </w:rPr>
  </w:style>
  <w:style w:type="character" w:customStyle="1" w:styleId="Redline">
    <w:name w:val="Redline"/>
    <w:rsid w:val="00FB75E9"/>
    <w:rPr>
      <w:u w:val="single"/>
    </w:rPr>
  </w:style>
  <w:style w:type="character" w:customStyle="1" w:styleId="XOut">
    <w:name w:val="XOut"/>
    <w:rsid w:val="00FB75E9"/>
    <w:rPr>
      <w:strike/>
    </w:rPr>
  </w:style>
  <w:style w:type="paragraph" w:styleId="En-tte">
    <w:name w:val="header"/>
    <w:basedOn w:val="Normal"/>
    <w:link w:val="En-tteCar"/>
    <w:uiPriority w:val="99"/>
    <w:unhideWhenUsed/>
    <w:rsid w:val="004051CA"/>
    <w:pPr>
      <w:tabs>
        <w:tab w:val="center" w:pos="4536"/>
        <w:tab w:val="right" w:pos="9072"/>
      </w:tabs>
    </w:pPr>
  </w:style>
  <w:style w:type="character" w:customStyle="1" w:styleId="En-tteCar">
    <w:name w:val="En-tête Car"/>
    <w:basedOn w:val="Policepardfaut"/>
    <w:link w:val="En-tte"/>
    <w:uiPriority w:val="99"/>
    <w:rsid w:val="004051CA"/>
    <w:rPr>
      <w:rFonts w:ascii="Times New Roman" w:eastAsia="Times New Roman" w:hAnsi="Times New Roman"/>
      <w:sz w:val="24"/>
      <w:lang w:val="en-US"/>
    </w:rPr>
  </w:style>
  <w:style w:type="paragraph" w:styleId="Pieddepage">
    <w:name w:val="footer"/>
    <w:basedOn w:val="Normal"/>
    <w:link w:val="PieddepageCar"/>
    <w:uiPriority w:val="99"/>
    <w:unhideWhenUsed/>
    <w:rsid w:val="004051CA"/>
    <w:pPr>
      <w:tabs>
        <w:tab w:val="center" w:pos="4536"/>
        <w:tab w:val="right" w:pos="9072"/>
      </w:tabs>
    </w:pPr>
  </w:style>
  <w:style w:type="character" w:customStyle="1" w:styleId="PieddepageCar">
    <w:name w:val="Pied de page Car"/>
    <w:basedOn w:val="Policepardfaut"/>
    <w:link w:val="Pieddepage"/>
    <w:uiPriority w:val="99"/>
    <w:rsid w:val="004051CA"/>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A3496B"/>
    <w:rPr>
      <w:sz w:val="20"/>
    </w:rPr>
  </w:style>
  <w:style w:type="character" w:customStyle="1" w:styleId="NotedebasdepageCar">
    <w:name w:val="Note de bas de page Car"/>
    <w:basedOn w:val="Policepardfaut"/>
    <w:link w:val="Notedebasdepage"/>
    <w:uiPriority w:val="99"/>
    <w:semiHidden/>
    <w:rsid w:val="00A3496B"/>
    <w:rPr>
      <w:rFonts w:ascii="Times New Roman" w:eastAsia="Times New Roman" w:hAnsi="Times New Roman"/>
      <w:lang w:val="en-US"/>
    </w:rPr>
  </w:style>
  <w:style w:type="character" w:styleId="Appelnotedebasdep">
    <w:name w:val="footnote reference"/>
    <w:basedOn w:val="Policepardfaut"/>
    <w:uiPriority w:val="99"/>
    <w:semiHidden/>
    <w:unhideWhenUsed/>
    <w:rsid w:val="00A34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E9"/>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FB75E9"/>
    <w:pPr>
      <w:widowControl w:val="0"/>
    </w:pPr>
    <w:rPr>
      <w:b/>
      <w:sz w:val="36"/>
      <w:u w:val="single"/>
    </w:rPr>
  </w:style>
  <w:style w:type="paragraph" w:customStyle="1" w:styleId="ArticleTit2">
    <w:name w:val="ArticleTit2"/>
    <w:basedOn w:val="Normal"/>
    <w:rsid w:val="00FB75E9"/>
    <w:pPr>
      <w:widowControl w:val="0"/>
    </w:pPr>
    <w:rPr>
      <w:b/>
      <w:sz w:val="29"/>
    </w:rPr>
  </w:style>
  <w:style w:type="paragraph" w:customStyle="1" w:styleId="Heading0">
    <w:name w:val="Heading0"/>
    <w:basedOn w:val="Normal"/>
    <w:rsid w:val="00FB75E9"/>
    <w:pPr>
      <w:widowControl w:val="0"/>
      <w:spacing w:after="20"/>
      <w:jc w:val="center"/>
    </w:pPr>
    <w:rPr>
      <w:b/>
      <w:sz w:val="36"/>
    </w:rPr>
  </w:style>
  <w:style w:type="character" w:customStyle="1" w:styleId="LineTight">
    <w:name w:val="LineTight"/>
    <w:rsid w:val="00FB75E9"/>
    <w:rPr>
      <w:rFonts w:cs="Times New Roman"/>
    </w:rPr>
  </w:style>
  <w:style w:type="character" w:customStyle="1" w:styleId="Redline">
    <w:name w:val="Redline"/>
    <w:rsid w:val="00FB75E9"/>
    <w:rPr>
      <w:u w:val="single"/>
    </w:rPr>
  </w:style>
  <w:style w:type="character" w:customStyle="1" w:styleId="XOut">
    <w:name w:val="XOut"/>
    <w:rsid w:val="00FB75E9"/>
    <w:rPr>
      <w:strike/>
    </w:rPr>
  </w:style>
  <w:style w:type="paragraph" w:styleId="En-tte">
    <w:name w:val="header"/>
    <w:basedOn w:val="Normal"/>
    <w:link w:val="En-tteCar"/>
    <w:uiPriority w:val="99"/>
    <w:unhideWhenUsed/>
    <w:rsid w:val="004051CA"/>
    <w:pPr>
      <w:tabs>
        <w:tab w:val="center" w:pos="4536"/>
        <w:tab w:val="right" w:pos="9072"/>
      </w:tabs>
    </w:pPr>
  </w:style>
  <w:style w:type="character" w:customStyle="1" w:styleId="En-tteCar">
    <w:name w:val="En-tête Car"/>
    <w:basedOn w:val="Policepardfaut"/>
    <w:link w:val="En-tte"/>
    <w:uiPriority w:val="99"/>
    <w:rsid w:val="004051CA"/>
    <w:rPr>
      <w:rFonts w:ascii="Times New Roman" w:eastAsia="Times New Roman" w:hAnsi="Times New Roman"/>
      <w:sz w:val="24"/>
      <w:lang w:val="en-US"/>
    </w:rPr>
  </w:style>
  <w:style w:type="paragraph" w:styleId="Pieddepage">
    <w:name w:val="footer"/>
    <w:basedOn w:val="Normal"/>
    <w:link w:val="PieddepageCar"/>
    <w:uiPriority w:val="99"/>
    <w:unhideWhenUsed/>
    <w:rsid w:val="004051CA"/>
    <w:pPr>
      <w:tabs>
        <w:tab w:val="center" w:pos="4536"/>
        <w:tab w:val="right" w:pos="9072"/>
      </w:tabs>
    </w:pPr>
  </w:style>
  <w:style w:type="character" w:customStyle="1" w:styleId="PieddepageCar">
    <w:name w:val="Pied de page Car"/>
    <w:basedOn w:val="Policepardfaut"/>
    <w:link w:val="Pieddepage"/>
    <w:uiPriority w:val="99"/>
    <w:rsid w:val="004051CA"/>
    <w:rPr>
      <w:rFonts w:ascii="Times New Roman" w:eastAsia="Times New Roman" w:hAnsi="Times New Roman"/>
      <w:sz w:val="24"/>
      <w:lang w:val="en-US"/>
    </w:rPr>
  </w:style>
  <w:style w:type="paragraph" w:styleId="Notedebasdepage">
    <w:name w:val="footnote text"/>
    <w:basedOn w:val="Normal"/>
    <w:link w:val="NotedebasdepageCar"/>
    <w:uiPriority w:val="99"/>
    <w:semiHidden/>
    <w:unhideWhenUsed/>
    <w:rsid w:val="00A3496B"/>
    <w:rPr>
      <w:sz w:val="20"/>
    </w:rPr>
  </w:style>
  <w:style w:type="character" w:customStyle="1" w:styleId="NotedebasdepageCar">
    <w:name w:val="Note de bas de page Car"/>
    <w:basedOn w:val="Policepardfaut"/>
    <w:link w:val="Notedebasdepage"/>
    <w:uiPriority w:val="99"/>
    <w:semiHidden/>
    <w:rsid w:val="00A3496B"/>
    <w:rPr>
      <w:rFonts w:ascii="Times New Roman" w:eastAsia="Times New Roman" w:hAnsi="Times New Roman"/>
      <w:lang w:val="en-US"/>
    </w:rPr>
  </w:style>
  <w:style w:type="character" w:styleId="Appelnotedebasdep">
    <w:name w:val="footnote reference"/>
    <w:basedOn w:val="Policepardfaut"/>
    <w:uiPriority w:val="99"/>
    <w:semiHidden/>
    <w:unhideWhenUsed/>
    <w:rsid w:val="00A34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7ABF-6979-481C-BC37-7EF8DB04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2331</Words>
  <Characters>12822</Characters>
  <Application>Microsoft Office Word</Application>
  <DocSecurity>0</DocSecurity>
  <Lines>106</Lines>
  <Paragraphs>30</Paragraphs>
  <ScaleCrop>false</ScaleCrop>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8</cp:revision>
  <dcterms:created xsi:type="dcterms:W3CDTF">2017-01-17T10:45:00Z</dcterms:created>
  <dcterms:modified xsi:type="dcterms:W3CDTF">2017-01-20T08:56:00Z</dcterms:modified>
</cp:coreProperties>
</file>